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69" w:rsidRDefault="00236469" w:rsidP="00C52519">
      <w:pPr>
        <w:pStyle w:val="a5"/>
        <w:jc w:val="center"/>
        <w:rPr>
          <w:rFonts w:ascii="Times New Roman" w:hAnsi="Times New Roman" w:cs="Times New Roman"/>
          <w:b/>
          <w:sz w:val="28"/>
          <w:szCs w:val="28"/>
        </w:rPr>
      </w:pPr>
    </w:p>
    <w:p w:rsidR="00C52519" w:rsidRPr="00B300EE" w:rsidRDefault="00C52519" w:rsidP="00C52519">
      <w:pPr>
        <w:pStyle w:val="a5"/>
        <w:jc w:val="center"/>
        <w:rPr>
          <w:rFonts w:ascii="Times New Roman" w:hAnsi="Times New Roman" w:cs="Times New Roman"/>
          <w:b/>
          <w:sz w:val="28"/>
          <w:szCs w:val="28"/>
        </w:rPr>
      </w:pPr>
      <w:r w:rsidRPr="00B300EE">
        <w:rPr>
          <w:rFonts w:ascii="Times New Roman" w:hAnsi="Times New Roman" w:cs="Times New Roman"/>
          <w:b/>
          <w:sz w:val="28"/>
          <w:szCs w:val="28"/>
        </w:rPr>
        <w:t xml:space="preserve">Заключение </w:t>
      </w:r>
    </w:p>
    <w:p w:rsidR="00C52519" w:rsidRPr="00B300EE" w:rsidRDefault="00C52519" w:rsidP="00C52519">
      <w:pPr>
        <w:pStyle w:val="a5"/>
        <w:jc w:val="center"/>
        <w:rPr>
          <w:rFonts w:ascii="Times New Roman" w:hAnsi="Times New Roman" w:cs="Times New Roman"/>
          <w:b/>
          <w:sz w:val="28"/>
          <w:szCs w:val="28"/>
        </w:rPr>
      </w:pPr>
      <w:r w:rsidRPr="00B300EE">
        <w:rPr>
          <w:rFonts w:ascii="Times New Roman" w:hAnsi="Times New Roman" w:cs="Times New Roman"/>
          <w:b/>
          <w:sz w:val="28"/>
          <w:szCs w:val="28"/>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w:t>
      </w:r>
      <w:r w:rsidR="00FE4D4C" w:rsidRPr="00B300EE">
        <w:rPr>
          <w:rFonts w:ascii="Times New Roman" w:hAnsi="Times New Roman" w:cs="Times New Roman"/>
          <w:b/>
          <w:sz w:val="28"/>
          <w:szCs w:val="28"/>
        </w:rPr>
        <w:t>ород Каспийск»           на 2014</w:t>
      </w:r>
      <w:r w:rsidRPr="00B300EE">
        <w:rPr>
          <w:rFonts w:ascii="Times New Roman" w:hAnsi="Times New Roman" w:cs="Times New Roman"/>
          <w:b/>
          <w:sz w:val="28"/>
          <w:szCs w:val="28"/>
        </w:rPr>
        <w:t xml:space="preserve"> год и плановый период </w:t>
      </w:r>
      <w:r w:rsidR="00FE4D4C" w:rsidRPr="00B300EE">
        <w:rPr>
          <w:rFonts w:ascii="Times New Roman" w:hAnsi="Times New Roman" w:cs="Times New Roman"/>
          <w:b/>
          <w:sz w:val="28"/>
          <w:szCs w:val="28"/>
        </w:rPr>
        <w:t>2015-2016</w:t>
      </w:r>
      <w:r w:rsidRPr="00B300EE">
        <w:rPr>
          <w:rFonts w:ascii="Times New Roman" w:hAnsi="Times New Roman" w:cs="Times New Roman"/>
          <w:b/>
          <w:sz w:val="28"/>
          <w:szCs w:val="28"/>
        </w:rPr>
        <w:t>годы»</w:t>
      </w:r>
    </w:p>
    <w:p w:rsidR="00236469" w:rsidRPr="00B300EE" w:rsidRDefault="00236469" w:rsidP="00C52519">
      <w:pPr>
        <w:pStyle w:val="a5"/>
        <w:jc w:val="both"/>
        <w:rPr>
          <w:rFonts w:ascii="Times New Roman" w:hAnsi="Times New Roman" w:cs="Times New Roman"/>
          <w:b/>
          <w:sz w:val="28"/>
          <w:szCs w:val="28"/>
        </w:rPr>
      </w:pPr>
    </w:p>
    <w:p w:rsidR="00C52519" w:rsidRPr="00B300EE" w:rsidRDefault="00C52519" w:rsidP="00C52519">
      <w:pPr>
        <w:pStyle w:val="a5"/>
        <w:jc w:val="center"/>
        <w:rPr>
          <w:rFonts w:ascii="Times New Roman" w:hAnsi="Times New Roman" w:cs="Times New Roman"/>
          <w:b/>
          <w:sz w:val="28"/>
          <w:szCs w:val="28"/>
        </w:rPr>
      </w:pPr>
      <w:r w:rsidRPr="00B300EE">
        <w:rPr>
          <w:rFonts w:ascii="Times New Roman" w:hAnsi="Times New Roman" w:cs="Times New Roman"/>
          <w:b/>
          <w:sz w:val="28"/>
          <w:szCs w:val="28"/>
        </w:rPr>
        <w:t>1.Общие положения</w:t>
      </w:r>
      <w:r w:rsidRPr="00B300EE">
        <w:rPr>
          <w:rFonts w:ascii="Times New Roman" w:hAnsi="Times New Roman" w:cs="Times New Roman"/>
          <w:sz w:val="28"/>
          <w:szCs w:val="28"/>
        </w:rPr>
        <w:t>.</w:t>
      </w:r>
    </w:p>
    <w:p w:rsidR="00C52519" w:rsidRPr="00B300EE" w:rsidRDefault="00C52519" w:rsidP="00C52519">
      <w:pPr>
        <w:pStyle w:val="a5"/>
        <w:jc w:val="both"/>
        <w:rPr>
          <w:rFonts w:ascii="Times New Roman" w:hAnsi="Times New Roman" w:cs="Times New Roman"/>
          <w:b/>
          <w:sz w:val="28"/>
          <w:szCs w:val="28"/>
        </w:rPr>
      </w:pP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1.1</w:t>
      </w:r>
      <w:r w:rsidRPr="00B300EE">
        <w:rPr>
          <w:rFonts w:ascii="Times New Roman" w:hAnsi="Times New Roman" w:cs="Times New Roman"/>
          <w:sz w:val="28"/>
          <w:szCs w:val="28"/>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1.2.</w:t>
      </w:r>
      <w:r w:rsidRPr="00B300EE">
        <w:rPr>
          <w:rFonts w:ascii="Times New Roman" w:hAnsi="Times New Roman" w:cs="Times New Roman"/>
          <w:sz w:val="28"/>
          <w:szCs w:val="28"/>
        </w:rPr>
        <w:t>Программа социально-эконом</w:t>
      </w:r>
      <w:r w:rsidR="00FE4D4C" w:rsidRPr="00B300EE">
        <w:rPr>
          <w:rFonts w:ascii="Times New Roman" w:hAnsi="Times New Roman" w:cs="Times New Roman"/>
          <w:sz w:val="28"/>
          <w:szCs w:val="28"/>
        </w:rPr>
        <w:t>ического развития города на 2014год и на плановый период 2015-2016</w:t>
      </w:r>
      <w:r w:rsidRPr="00B300EE">
        <w:rPr>
          <w:rFonts w:ascii="Times New Roman" w:hAnsi="Times New Roman" w:cs="Times New Roman"/>
          <w:sz w:val="28"/>
          <w:szCs w:val="28"/>
        </w:rPr>
        <w:t xml:space="preserve"> год (далее Программа) разработана в соответствии с Законом Российской Федерации от 20.07.1995 года №115-ФЗ «О государственном прогнозировании и программах социально-экономического развития Российской Федерации», на основе Основных направлений социально-экономической полит</w:t>
      </w:r>
      <w:r w:rsidR="00FE4D4C" w:rsidRPr="00B300EE">
        <w:rPr>
          <w:rFonts w:ascii="Times New Roman" w:hAnsi="Times New Roman" w:cs="Times New Roman"/>
          <w:sz w:val="28"/>
          <w:szCs w:val="28"/>
        </w:rPr>
        <w:t>ики на долгосрочную перспективу</w:t>
      </w:r>
      <w:r w:rsidRPr="00B300EE">
        <w:rPr>
          <w:rFonts w:ascii="Times New Roman" w:hAnsi="Times New Roman" w:cs="Times New Roman"/>
          <w:sz w:val="28"/>
          <w:szCs w:val="28"/>
        </w:rPr>
        <w:t xml:space="preserve">, </w:t>
      </w:r>
      <w:r w:rsidR="00FE4D4C" w:rsidRPr="00B300EE">
        <w:rPr>
          <w:rFonts w:ascii="Times New Roman" w:hAnsi="Times New Roman" w:cs="Times New Roman"/>
          <w:sz w:val="28"/>
          <w:szCs w:val="28"/>
        </w:rPr>
        <w:t>Указа Президента</w:t>
      </w:r>
      <w:r w:rsidRPr="00B300EE">
        <w:rPr>
          <w:rFonts w:ascii="Times New Roman" w:hAnsi="Times New Roman" w:cs="Times New Roman"/>
          <w:sz w:val="28"/>
          <w:szCs w:val="28"/>
        </w:rPr>
        <w:t xml:space="preserve"> РД от №</w:t>
      </w:r>
      <w:r w:rsidR="00FE4D4C" w:rsidRPr="00B300EE">
        <w:rPr>
          <w:rFonts w:ascii="Times New Roman" w:hAnsi="Times New Roman" w:cs="Times New Roman"/>
          <w:sz w:val="28"/>
          <w:szCs w:val="28"/>
        </w:rPr>
        <w:t>249б  от 7</w:t>
      </w:r>
      <w:r w:rsidRPr="00B300EE">
        <w:rPr>
          <w:rFonts w:ascii="Times New Roman" w:hAnsi="Times New Roman" w:cs="Times New Roman"/>
          <w:sz w:val="28"/>
          <w:szCs w:val="28"/>
        </w:rPr>
        <w:t>.09.201</w:t>
      </w:r>
      <w:r w:rsidR="00FE4D4C" w:rsidRPr="00B300EE">
        <w:rPr>
          <w:rFonts w:ascii="Times New Roman" w:hAnsi="Times New Roman" w:cs="Times New Roman"/>
          <w:sz w:val="28"/>
          <w:szCs w:val="28"/>
        </w:rPr>
        <w:t>3</w:t>
      </w:r>
      <w:r w:rsidRPr="00B300EE">
        <w:rPr>
          <w:rFonts w:ascii="Times New Roman" w:hAnsi="Times New Roman" w:cs="Times New Roman"/>
          <w:sz w:val="28"/>
          <w:szCs w:val="28"/>
        </w:rPr>
        <w:t xml:space="preserve"> года «</w:t>
      </w:r>
      <w:r w:rsidR="00FE4D4C" w:rsidRPr="00B300EE">
        <w:rPr>
          <w:rFonts w:ascii="Times New Roman" w:hAnsi="Times New Roman" w:cs="Times New Roman"/>
          <w:sz w:val="28"/>
          <w:szCs w:val="28"/>
        </w:rPr>
        <w:t>Об ускоренном социально-экономическом развитии Республики Дагестан в 2013 2014 годах</w:t>
      </w:r>
      <w:r w:rsidRPr="00B300EE">
        <w:rPr>
          <w:rFonts w:ascii="Times New Roman" w:hAnsi="Times New Roman" w:cs="Times New Roman"/>
          <w:sz w:val="28"/>
          <w:szCs w:val="28"/>
        </w:rPr>
        <w:t>»,</w:t>
      </w:r>
      <w:r w:rsidR="00FE4D4C" w:rsidRPr="00B300EE">
        <w:rPr>
          <w:rFonts w:ascii="Times New Roman" w:hAnsi="Times New Roman" w:cs="Times New Roman"/>
          <w:sz w:val="28"/>
          <w:szCs w:val="28"/>
        </w:rPr>
        <w:t>постановления Правительства РД от 27 декабря 2012 года № 471 «Об утверждении Стратегий социально-экономического развития территориальных зон Республики Дагестан до 2025 года»,</w:t>
      </w:r>
      <w:r w:rsidRPr="00B300EE">
        <w:rPr>
          <w:rFonts w:ascii="Times New Roman" w:hAnsi="Times New Roman" w:cs="Times New Roman"/>
          <w:sz w:val="28"/>
          <w:szCs w:val="28"/>
        </w:rPr>
        <w:t xml:space="preserve"> а также на основе итогов социального ра</w:t>
      </w:r>
      <w:r w:rsidR="00FE4D4C" w:rsidRPr="00B300EE">
        <w:rPr>
          <w:rFonts w:ascii="Times New Roman" w:hAnsi="Times New Roman" w:cs="Times New Roman"/>
          <w:sz w:val="28"/>
          <w:szCs w:val="28"/>
        </w:rPr>
        <w:t>звития городского округа за 2012 год и 9 месяцев 2013</w:t>
      </w:r>
      <w:r w:rsidRPr="00B300EE">
        <w:rPr>
          <w:rFonts w:ascii="Times New Roman" w:hAnsi="Times New Roman" w:cs="Times New Roman"/>
          <w:sz w:val="28"/>
          <w:szCs w:val="28"/>
        </w:rPr>
        <w:t xml:space="preserve"> года.</w:t>
      </w: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1.3.</w:t>
      </w:r>
      <w:r w:rsidRPr="00B300EE">
        <w:rPr>
          <w:rFonts w:ascii="Times New Roman" w:hAnsi="Times New Roman" w:cs="Times New Roman"/>
          <w:sz w:val="28"/>
          <w:szCs w:val="28"/>
        </w:rPr>
        <w:t xml:space="preserve">При подготовке Заключения проанализирована деятельность финансового управления, городского отдела экономики, </w:t>
      </w:r>
      <w:r w:rsidR="00FE4D4C" w:rsidRPr="00B300EE">
        <w:rPr>
          <w:rFonts w:ascii="Times New Roman" w:hAnsi="Times New Roman" w:cs="Times New Roman"/>
          <w:sz w:val="28"/>
          <w:szCs w:val="28"/>
        </w:rPr>
        <w:t>управления по строительству</w:t>
      </w:r>
      <w:r w:rsidRPr="00B300EE">
        <w:rPr>
          <w:rFonts w:ascii="Times New Roman" w:hAnsi="Times New Roman" w:cs="Times New Roman"/>
          <w:sz w:val="28"/>
          <w:szCs w:val="28"/>
        </w:rPr>
        <w:t xml:space="preserve"> и архитектуры, ЖКХ, </w:t>
      </w:r>
      <w:r w:rsidR="00FE4D4C" w:rsidRPr="00B300EE">
        <w:rPr>
          <w:rFonts w:ascii="Times New Roman" w:hAnsi="Times New Roman" w:cs="Times New Roman"/>
          <w:sz w:val="28"/>
          <w:szCs w:val="28"/>
        </w:rPr>
        <w:t>управления земельных отношений, у</w:t>
      </w:r>
      <w:r w:rsidRPr="00B300EE">
        <w:rPr>
          <w:rFonts w:ascii="Times New Roman" w:hAnsi="Times New Roman" w:cs="Times New Roman"/>
          <w:sz w:val="28"/>
          <w:szCs w:val="28"/>
        </w:rPr>
        <w:t xml:space="preserve">правления образованием, </w:t>
      </w:r>
      <w:r w:rsidR="00236469" w:rsidRPr="00B300EE">
        <w:rPr>
          <w:rFonts w:ascii="Times New Roman" w:hAnsi="Times New Roman" w:cs="Times New Roman"/>
          <w:sz w:val="28"/>
          <w:szCs w:val="28"/>
        </w:rPr>
        <w:t>ГБУ</w:t>
      </w:r>
      <w:r w:rsidRPr="00B300EE">
        <w:rPr>
          <w:rFonts w:ascii="Times New Roman" w:hAnsi="Times New Roman" w:cs="Times New Roman"/>
          <w:sz w:val="28"/>
          <w:szCs w:val="28"/>
        </w:rPr>
        <w:t xml:space="preserve"> ЦГБ, учреждений культуры, городских  предприятий и организаций.</w:t>
      </w: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sz w:val="28"/>
          <w:szCs w:val="28"/>
        </w:rPr>
        <w:t>Основные параметры социально-экономического развития городского округа «город Каспийск» согласованы с бюджетом города на 201</w:t>
      </w:r>
      <w:r w:rsidR="00FE4D4C" w:rsidRPr="00B300EE">
        <w:rPr>
          <w:rFonts w:ascii="Times New Roman" w:hAnsi="Times New Roman" w:cs="Times New Roman"/>
          <w:sz w:val="28"/>
          <w:szCs w:val="28"/>
        </w:rPr>
        <w:t>4год и плановый период 2015</w:t>
      </w:r>
      <w:r w:rsidRPr="00B300EE">
        <w:rPr>
          <w:rFonts w:ascii="Times New Roman" w:hAnsi="Times New Roman" w:cs="Times New Roman"/>
          <w:sz w:val="28"/>
          <w:szCs w:val="28"/>
        </w:rPr>
        <w:t>-201</w:t>
      </w:r>
      <w:r w:rsidR="00FE4D4C" w:rsidRPr="00B300EE">
        <w:rPr>
          <w:rFonts w:ascii="Times New Roman" w:hAnsi="Times New Roman" w:cs="Times New Roman"/>
          <w:sz w:val="28"/>
          <w:szCs w:val="28"/>
        </w:rPr>
        <w:t>6</w:t>
      </w:r>
      <w:r w:rsidRPr="00B300EE">
        <w:rPr>
          <w:rFonts w:ascii="Times New Roman" w:hAnsi="Times New Roman" w:cs="Times New Roman"/>
          <w:sz w:val="28"/>
          <w:szCs w:val="28"/>
        </w:rPr>
        <w:t>гг.</w:t>
      </w:r>
    </w:p>
    <w:p w:rsidR="00C52519"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1.4.</w:t>
      </w:r>
      <w:r w:rsidRPr="00B300EE">
        <w:rPr>
          <w:rFonts w:ascii="Times New Roman" w:hAnsi="Times New Roman" w:cs="Times New Roman"/>
          <w:sz w:val="28"/>
          <w:szCs w:val="28"/>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6C1DF3" w:rsidRPr="006C1DF3" w:rsidRDefault="006C1DF3" w:rsidP="0060738C">
      <w:pPr>
        <w:pStyle w:val="a5"/>
        <w:ind w:firstLine="709"/>
        <w:jc w:val="both"/>
        <w:rPr>
          <w:rFonts w:ascii="Times New Roman" w:hAnsi="Times New Roman" w:cs="Times New Roman"/>
          <w:b/>
          <w:sz w:val="28"/>
          <w:szCs w:val="28"/>
        </w:rPr>
      </w:pPr>
      <w:r w:rsidRPr="006C1DF3">
        <w:rPr>
          <w:rStyle w:val="10"/>
          <w:rFonts w:ascii="Times New Roman" w:eastAsiaTheme="minorEastAsia" w:hAnsi="Times New Roman" w:cs="Times New Roman"/>
          <w:b w:val="0"/>
          <w:color w:val="auto"/>
        </w:rPr>
        <w:t>Программа социально-экономического развития состоит из следующих разделов: «Характеристика МО ГО «город Каспийск», «Оценка социально-экономического положения города»,</w:t>
      </w:r>
      <w:r w:rsidR="00D23FB6">
        <w:rPr>
          <w:rStyle w:val="10"/>
          <w:rFonts w:ascii="Times New Roman" w:eastAsiaTheme="minorEastAsia" w:hAnsi="Times New Roman" w:cs="Times New Roman"/>
          <w:b w:val="0"/>
          <w:color w:val="auto"/>
        </w:rPr>
        <w:t xml:space="preserve"> </w:t>
      </w:r>
      <w:r w:rsidRPr="006C1DF3">
        <w:rPr>
          <w:rStyle w:val="10"/>
          <w:rFonts w:ascii="Times New Roman" w:eastAsiaTheme="minorEastAsia" w:hAnsi="Times New Roman" w:cs="Times New Roman"/>
          <w:b w:val="0"/>
          <w:color w:val="auto"/>
        </w:rPr>
        <w:t>«Основные проблемы», «Социально-экономический потенциал», «Система программных мероприятий</w:t>
      </w:r>
      <w:r w:rsidRPr="006C1DF3">
        <w:rPr>
          <w:rFonts w:ascii="Times New Roman" w:hAnsi="Times New Roman" w:cs="Times New Roman"/>
          <w:b/>
          <w:sz w:val="28"/>
          <w:szCs w:val="28"/>
        </w:rPr>
        <w:t>»,</w:t>
      </w:r>
      <w:r w:rsidRPr="006C1DF3">
        <w:rPr>
          <w:rStyle w:val="10"/>
          <w:rFonts w:ascii="Times New Roman" w:eastAsiaTheme="minorEastAsia" w:hAnsi="Times New Roman" w:cs="Times New Roman"/>
          <w:b w:val="0"/>
          <w:color w:val="auto"/>
        </w:rPr>
        <w:t xml:space="preserve"> «Ресурсное обеспечение программы», «Механизмы реализации программы» и т.д.</w:t>
      </w:r>
    </w:p>
    <w:p w:rsidR="006C1DF3" w:rsidRPr="00B300EE" w:rsidRDefault="006C1DF3"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 xml:space="preserve">     </w:t>
      </w:r>
      <w:r w:rsidRPr="00B300EE">
        <w:rPr>
          <w:rFonts w:ascii="Times New Roman" w:hAnsi="Times New Roman" w:cs="Times New Roman"/>
          <w:sz w:val="28"/>
          <w:szCs w:val="28"/>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6C1DF3" w:rsidRPr="00B300EE" w:rsidRDefault="006C1DF3" w:rsidP="0060738C">
      <w:pPr>
        <w:pStyle w:val="a5"/>
        <w:ind w:firstLine="709"/>
        <w:jc w:val="both"/>
        <w:rPr>
          <w:rFonts w:ascii="Times New Roman" w:hAnsi="Times New Roman" w:cs="Times New Roman"/>
          <w:sz w:val="28"/>
          <w:szCs w:val="28"/>
        </w:rPr>
      </w:pPr>
      <w:r w:rsidRPr="00B300EE">
        <w:rPr>
          <w:rFonts w:ascii="Times New Roman" w:hAnsi="Times New Roman" w:cs="Times New Roman"/>
          <w:sz w:val="28"/>
          <w:szCs w:val="28"/>
        </w:rPr>
        <w:lastRenderedPageBreak/>
        <w:t xml:space="preserve">     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B300EE" w:rsidRPr="00B300EE" w:rsidRDefault="00C52519"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b/>
          <w:sz w:val="28"/>
          <w:szCs w:val="28"/>
        </w:rPr>
        <w:t>1.5.</w:t>
      </w:r>
      <w:r w:rsidRPr="00B300EE">
        <w:rPr>
          <w:rFonts w:ascii="Times New Roman" w:hAnsi="Times New Roman" w:cs="Times New Roman"/>
          <w:b/>
          <w:sz w:val="28"/>
          <w:szCs w:val="28"/>
          <w:u w:val="single"/>
        </w:rPr>
        <w:t>Цели и зад</w:t>
      </w:r>
      <w:r w:rsidR="00FE4D4C" w:rsidRPr="00B300EE">
        <w:rPr>
          <w:rFonts w:ascii="Times New Roman" w:hAnsi="Times New Roman" w:cs="Times New Roman"/>
          <w:b/>
          <w:sz w:val="28"/>
          <w:szCs w:val="28"/>
          <w:u w:val="single"/>
        </w:rPr>
        <w:t xml:space="preserve">ачи </w:t>
      </w:r>
      <w:r w:rsidRPr="00B300EE">
        <w:rPr>
          <w:rFonts w:ascii="Times New Roman" w:hAnsi="Times New Roman" w:cs="Times New Roman"/>
          <w:b/>
          <w:sz w:val="28"/>
          <w:szCs w:val="28"/>
          <w:u w:val="single"/>
        </w:rPr>
        <w:t xml:space="preserve"> </w:t>
      </w:r>
      <w:r w:rsidRPr="00B300EE">
        <w:rPr>
          <w:rFonts w:ascii="Times New Roman" w:hAnsi="Times New Roman" w:cs="Times New Roman"/>
          <w:sz w:val="28"/>
          <w:szCs w:val="28"/>
        </w:rPr>
        <w:t>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дотационности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w:t>
      </w:r>
      <w:r w:rsidR="00B300EE" w:rsidRPr="00B300EE">
        <w:rPr>
          <w:rFonts w:ascii="Times New Roman" w:hAnsi="Times New Roman" w:cs="Times New Roman"/>
          <w:sz w:val="28"/>
          <w:szCs w:val="28"/>
        </w:rPr>
        <w:t xml:space="preserve">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B300EE" w:rsidRPr="00B300EE" w:rsidRDefault="00B300EE"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 xml:space="preserve">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 </w:t>
      </w:r>
    </w:p>
    <w:p w:rsidR="00B300EE" w:rsidRPr="00B300EE" w:rsidRDefault="00B300EE"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2016 года:</w:t>
      </w:r>
    </w:p>
    <w:p w:rsidR="00B300EE" w:rsidRPr="00B300EE" w:rsidRDefault="00B300EE"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1. Повышение уровня жизни населения и создание благоприятного социального климата.</w:t>
      </w:r>
    </w:p>
    <w:p w:rsidR="00B300EE" w:rsidRPr="00B300EE" w:rsidRDefault="00B300EE"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2. Создание максимально благоприятных условий для экономической деятельности хозяйствующих субъектов.</w:t>
      </w:r>
    </w:p>
    <w:p w:rsidR="00C52519" w:rsidRPr="00B300EE" w:rsidRDefault="00B300EE"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3. Повышение эффективности муниципального управления.</w:t>
      </w: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2. Основные проблемы</w:t>
      </w:r>
      <w:r w:rsidRPr="00B300EE">
        <w:rPr>
          <w:rFonts w:ascii="Times New Roman" w:hAnsi="Times New Roman" w:cs="Times New Roman"/>
          <w:sz w:val="28"/>
          <w:szCs w:val="28"/>
        </w:rPr>
        <w:t xml:space="preserve"> изложенные в Программе – безработица, низкий уровень заработной платы, нехватка жилья, отсутствие достоверной информации о субъектах малого предпринимательства, недостаточный уровень оказываемых услуг населению города, нехватка мест и  средств в школьных и дошкольных учреждениях, – предлагается решить через современные методы и способы внедрения инновационных процессов, строительство новых объектов инфраструктуры, эффективное использование имеющихся производственных площадей, материальное стимулирование. </w:t>
      </w:r>
    </w:p>
    <w:p w:rsidR="00C52519" w:rsidRPr="00B300EE" w:rsidRDefault="00C52519" w:rsidP="0060738C">
      <w:pPr>
        <w:pStyle w:val="a5"/>
        <w:ind w:firstLine="709"/>
        <w:jc w:val="both"/>
        <w:rPr>
          <w:rFonts w:ascii="Times New Roman" w:hAnsi="Times New Roman" w:cs="Times New Roman"/>
          <w:sz w:val="28"/>
          <w:szCs w:val="28"/>
        </w:rPr>
      </w:pPr>
      <w:r w:rsidRPr="00B300EE">
        <w:rPr>
          <w:rFonts w:ascii="Times New Roman" w:hAnsi="Times New Roman" w:cs="Times New Roman"/>
          <w:b/>
          <w:sz w:val="28"/>
          <w:szCs w:val="28"/>
        </w:rPr>
        <w:t xml:space="preserve">     </w:t>
      </w:r>
      <w:r w:rsidRPr="00B300EE">
        <w:rPr>
          <w:rFonts w:ascii="Times New Roman" w:hAnsi="Times New Roman" w:cs="Times New Roman"/>
          <w:sz w:val="28"/>
          <w:szCs w:val="28"/>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0254BC" w:rsidRPr="00B300EE" w:rsidRDefault="00D23FB6" w:rsidP="006073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C52519" w:rsidRPr="00B300EE">
        <w:rPr>
          <w:rFonts w:ascii="Times New Roman" w:hAnsi="Times New Roman" w:cs="Times New Roman"/>
          <w:b/>
          <w:sz w:val="28"/>
          <w:szCs w:val="28"/>
        </w:rPr>
        <w:t>.</w:t>
      </w:r>
      <w:r w:rsidR="00C52519" w:rsidRPr="00B300EE">
        <w:rPr>
          <w:rFonts w:ascii="Times New Roman" w:hAnsi="Times New Roman" w:cs="Times New Roman"/>
          <w:sz w:val="28"/>
          <w:szCs w:val="28"/>
        </w:rPr>
        <w:t xml:space="preserve"> </w:t>
      </w:r>
      <w:r w:rsidR="000254BC" w:rsidRPr="00B300EE">
        <w:rPr>
          <w:rFonts w:ascii="Times New Roman" w:hAnsi="Times New Roman" w:cs="Times New Roman"/>
          <w:sz w:val="28"/>
          <w:szCs w:val="28"/>
        </w:rPr>
        <w:t xml:space="preserve">В </w:t>
      </w:r>
      <w:r w:rsidR="001C2C26">
        <w:rPr>
          <w:rFonts w:ascii="Times New Roman" w:hAnsi="Times New Roman" w:cs="Times New Roman"/>
          <w:sz w:val="28"/>
          <w:szCs w:val="28"/>
        </w:rPr>
        <w:t>2012</w:t>
      </w:r>
      <w:r w:rsidR="000254BC" w:rsidRPr="00B300EE">
        <w:rPr>
          <w:rFonts w:ascii="Times New Roman" w:hAnsi="Times New Roman" w:cs="Times New Roman"/>
          <w:sz w:val="28"/>
          <w:szCs w:val="28"/>
        </w:rPr>
        <w:t xml:space="preserve"> году  объем отгруженных товаров собственного производства, выполненных работ и услуг собственными силами крупных и средних предприятий по всем видам экономической деятельности </w:t>
      </w:r>
      <w:r w:rsidR="001C2C26">
        <w:rPr>
          <w:rFonts w:ascii="Times New Roman" w:hAnsi="Times New Roman" w:cs="Times New Roman"/>
          <w:sz w:val="28"/>
          <w:szCs w:val="28"/>
        </w:rPr>
        <w:t xml:space="preserve">составил </w:t>
      </w:r>
      <w:r w:rsidR="000254BC" w:rsidRPr="00B300EE">
        <w:rPr>
          <w:rFonts w:ascii="Times New Roman" w:hAnsi="Times New Roman" w:cs="Times New Roman"/>
          <w:sz w:val="28"/>
          <w:szCs w:val="28"/>
        </w:rPr>
        <w:t xml:space="preserve">в действующих ценах </w:t>
      </w:r>
      <w:r w:rsidR="001C2C26">
        <w:rPr>
          <w:rFonts w:ascii="Times New Roman" w:hAnsi="Times New Roman" w:cs="Times New Roman"/>
          <w:sz w:val="28"/>
          <w:szCs w:val="28"/>
        </w:rPr>
        <w:t>6746,0  млн. рублей, в т.ч. по крупным и средним предприятиям- 6651,3 млн. рублей.</w:t>
      </w:r>
      <w:r w:rsidR="000254BC" w:rsidRPr="00B300EE">
        <w:rPr>
          <w:rFonts w:ascii="Times New Roman" w:hAnsi="Times New Roman" w:cs="Times New Roman"/>
          <w:sz w:val="28"/>
          <w:szCs w:val="28"/>
        </w:rPr>
        <w:t xml:space="preserve">  </w:t>
      </w:r>
    </w:p>
    <w:p w:rsidR="000254BC" w:rsidRPr="00B300EE" w:rsidRDefault="000254BC"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 xml:space="preserve">Основным видом экономической деятельности в городе  является  промышленность разных отраслей, где лидирующую роль занимает производство  машин  и  оборудования. Промышленное  производство  </w:t>
      </w:r>
      <w:r w:rsidRPr="00B300EE">
        <w:rPr>
          <w:rFonts w:ascii="Times New Roman" w:hAnsi="Times New Roman" w:cs="Times New Roman"/>
          <w:sz w:val="28"/>
          <w:szCs w:val="28"/>
        </w:rPr>
        <w:lastRenderedPageBreak/>
        <w:t>города представлено в основном двумя крупными предприятиями – ОАО «завод Дагдизель» и ОАО «Каспийский завод точной механики». В целом темпы роста промышленной продукции в значительной мере зависят от положения дел на заводе «Даг</w:t>
      </w:r>
      <w:r w:rsidR="001C2C26">
        <w:rPr>
          <w:rFonts w:ascii="Times New Roman" w:hAnsi="Times New Roman" w:cs="Times New Roman"/>
          <w:sz w:val="28"/>
          <w:szCs w:val="28"/>
        </w:rPr>
        <w:t>дизель», на долю которого в 2011</w:t>
      </w:r>
      <w:r w:rsidRPr="00B300EE">
        <w:rPr>
          <w:rFonts w:ascii="Times New Roman" w:hAnsi="Times New Roman" w:cs="Times New Roman"/>
          <w:sz w:val="28"/>
          <w:szCs w:val="28"/>
        </w:rPr>
        <w:t xml:space="preserve"> году </w:t>
      </w:r>
      <w:r w:rsidR="001C2C26">
        <w:rPr>
          <w:rFonts w:ascii="Times New Roman" w:hAnsi="Times New Roman" w:cs="Times New Roman"/>
          <w:sz w:val="28"/>
          <w:szCs w:val="28"/>
        </w:rPr>
        <w:t>пришлось 77</w:t>
      </w:r>
      <w:r w:rsidRPr="00B300EE">
        <w:rPr>
          <w:rFonts w:ascii="Times New Roman" w:hAnsi="Times New Roman" w:cs="Times New Roman"/>
          <w:sz w:val="28"/>
          <w:szCs w:val="28"/>
        </w:rPr>
        <w:t xml:space="preserve"> % объема  промышленной про</w:t>
      </w:r>
      <w:r w:rsidR="001C2C26">
        <w:rPr>
          <w:rFonts w:ascii="Times New Roman" w:hAnsi="Times New Roman" w:cs="Times New Roman"/>
          <w:sz w:val="28"/>
          <w:szCs w:val="28"/>
        </w:rPr>
        <w:t>дукции, а в 2012 г. только 17,2 %</w:t>
      </w:r>
    </w:p>
    <w:p w:rsidR="000254BC" w:rsidRPr="00B300EE" w:rsidRDefault="000254BC" w:rsidP="0060738C">
      <w:pPr>
        <w:spacing w:after="0" w:line="240" w:lineRule="auto"/>
        <w:ind w:firstLine="709"/>
        <w:jc w:val="both"/>
        <w:rPr>
          <w:rFonts w:ascii="Times New Roman" w:hAnsi="Times New Roman" w:cs="Times New Roman"/>
          <w:sz w:val="28"/>
          <w:szCs w:val="28"/>
        </w:rPr>
      </w:pPr>
      <w:r w:rsidRPr="00B300EE">
        <w:rPr>
          <w:rFonts w:ascii="Times New Roman" w:hAnsi="Times New Roman" w:cs="Times New Roman"/>
          <w:sz w:val="28"/>
          <w:szCs w:val="28"/>
        </w:rPr>
        <w:t xml:space="preserve"> По итогам </w:t>
      </w:r>
      <w:r w:rsidR="001C2C26">
        <w:rPr>
          <w:rFonts w:ascii="Times New Roman" w:hAnsi="Times New Roman" w:cs="Times New Roman"/>
          <w:sz w:val="28"/>
          <w:szCs w:val="28"/>
        </w:rPr>
        <w:t>девяти месяцев 2013</w:t>
      </w:r>
      <w:r w:rsidRPr="00B300EE">
        <w:rPr>
          <w:rFonts w:ascii="Times New Roman" w:hAnsi="Times New Roman" w:cs="Times New Roman"/>
          <w:sz w:val="28"/>
          <w:szCs w:val="28"/>
        </w:rPr>
        <w:t xml:space="preserve"> года наблюдается </w:t>
      </w:r>
      <w:r w:rsidR="001C2C26">
        <w:rPr>
          <w:rFonts w:ascii="Times New Roman" w:hAnsi="Times New Roman" w:cs="Times New Roman"/>
          <w:sz w:val="28"/>
          <w:szCs w:val="28"/>
        </w:rPr>
        <w:t>увеличение</w:t>
      </w:r>
      <w:r w:rsidRPr="00B300EE">
        <w:rPr>
          <w:rFonts w:ascii="Times New Roman" w:hAnsi="Times New Roman" w:cs="Times New Roman"/>
          <w:sz w:val="28"/>
          <w:szCs w:val="28"/>
        </w:rPr>
        <w:t xml:space="preserve"> темпов промышленного производства </w:t>
      </w:r>
      <w:r w:rsidR="001C2C26">
        <w:rPr>
          <w:rFonts w:ascii="Times New Roman" w:hAnsi="Times New Roman" w:cs="Times New Roman"/>
          <w:sz w:val="28"/>
          <w:szCs w:val="28"/>
        </w:rPr>
        <w:t xml:space="preserve"> на 5,8%</w:t>
      </w:r>
      <w:r w:rsidRPr="00B300EE">
        <w:rPr>
          <w:rFonts w:ascii="Times New Roman" w:hAnsi="Times New Roman" w:cs="Times New Roman"/>
          <w:sz w:val="28"/>
          <w:szCs w:val="28"/>
        </w:rPr>
        <w:t xml:space="preserve"> по </w:t>
      </w:r>
      <w:r w:rsidR="001C2C26">
        <w:rPr>
          <w:rFonts w:ascii="Times New Roman" w:hAnsi="Times New Roman" w:cs="Times New Roman"/>
          <w:sz w:val="28"/>
          <w:szCs w:val="28"/>
        </w:rPr>
        <w:t>сравнению с тем же периодом 2012</w:t>
      </w:r>
      <w:r w:rsidRPr="00B300EE">
        <w:rPr>
          <w:rFonts w:ascii="Times New Roman" w:hAnsi="Times New Roman" w:cs="Times New Roman"/>
          <w:sz w:val="28"/>
          <w:szCs w:val="28"/>
        </w:rPr>
        <w:t xml:space="preserve"> года.</w:t>
      </w:r>
    </w:p>
    <w:p w:rsidR="00C52519" w:rsidRDefault="000254BC" w:rsidP="0060738C">
      <w:pPr>
        <w:pStyle w:val="a5"/>
        <w:ind w:firstLine="709"/>
        <w:jc w:val="both"/>
        <w:rPr>
          <w:rFonts w:ascii="Times New Roman" w:hAnsi="Times New Roman" w:cs="Times New Roman"/>
          <w:sz w:val="28"/>
          <w:szCs w:val="28"/>
        </w:rPr>
      </w:pPr>
      <w:r w:rsidRPr="00AB46BB">
        <w:rPr>
          <w:rFonts w:ascii="Times New Roman" w:hAnsi="Times New Roman" w:cs="Times New Roman"/>
          <w:sz w:val="28"/>
          <w:szCs w:val="28"/>
        </w:rPr>
        <w:t xml:space="preserve"> </w:t>
      </w:r>
      <w:r w:rsidR="00AB46BB">
        <w:rPr>
          <w:rFonts w:ascii="Times New Roman" w:hAnsi="Times New Roman" w:cs="Times New Roman"/>
          <w:sz w:val="28"/>
          <w:szCs w:val="28"/>
        </w:rPr>
        <w:t>На период до 2016</w:t>
      </w:r>
      <w:r w:rsidRPr="00AB46BB">
        <w:rPr>
          <w:rFonts w:ascii="Times New Roman" w:hAnsi="Times New Roman" w:cs="Times New Roman"/>
          <w:sz w:val="28"/>
          <w:szCs w:val="28"/>
        </w:rPr>
        <w:t xml:space="preserve"> года прогнозируются следующие объемы  производс</w:t>
      </w:r>
      <w:r w:rsidR="00AB46BB">
        <w:rPr>
          <w:rFonts w:ascii="Times New Roman" w:hAnsi="Times New Roman" w:cs="Times New Roman"/>
          <w:sz w:val="28"/>
          <w:szCs w:val="28"/>
        </w:rPr>
        <w:t>тва промышленной продукции: 2014</w:t>
      </w:r>
      <w:r w:rsidRPr="00AB46BB">
        <w:rPr>
          <w:rFonts w:ascii="Times New Roman" w:hAnsi="Times New Roman" w:cs="Times New Roman"/>
          <w:sz w:val="28"/>
          <w:szCs w:val="28"/>
        </w:rPr>
        <w:t xml:space="preserve"> год- </w:t>
      </w:r>
      <w:r w:rsidR="00AB46BB">
        <w:rPr>
          <w:rFonts w:ascii="Times New Roman" w:hAnsi="Times New Roman" w:cs="Times New Roman"/>
          <w:sz w:val="28"/>
          <w:szCs w:val="28"/>
        </w:rPr>
        <w:t>5659,9 млн. руб., 2015</w:t>
      </w:r>
      <w:r w:rsidRPr="00AB46BB">
        <w:rPr>
          <w:rFonts w:ascii="Times New Roman" w:hAnsi="Times New Roman" w:cs="Times New Roman"/>
          <w:sz w:val="28"/>
          <w:szCs w:val="28"/>
        </w:rPr>
        <w:t xml:space="preserve"> год – </w:t>
      </w:r>
      <w:r w:rsidR="00AB46BB">
        <w:rPr>
          <w:rFonts w:ascii="Times New Roman" w:hAnsi="Times New Roman" w:cs="Times New Roman"/>
          <w:sz w:val="28"/>
          <w:szCs w:val="28"/>
        </w:rPr>
        <w:t>5874,9 млн. руб., 2016</w:t>
      </w:r>
      <w:r w:rsidRPr="00AB46BB">
        <w:rPr>
          <w:rFonts w:ascii="Times New Roman" w:hAnsi="Times New Roman" w:cs="Times New Roman"/>
          <w:sz w:val="28"/>
          <w:szCs w:val="28"/>
        </w:rPr>
        <w:t xml:space="preserve"> год – </w:t>
      </w:r>
      <w:r w:rsidR="00AB46BB">
        <w:rPr>
          <w:rFonts w:ascii="Times New Roman" w:hAnsi="Times New Roman" w:cs="Times New Roman"/>
          <w:sz w:val="28"/>
          <w:szCs w:val="28"/>
        </w:rPr>
        <w:t>6914,7</w:t>
      </w:r>
      <w:r w:rsidRPr="00AB46BB">
        <w:rPr>
          <w:rFonts w:ascii="Times New Roman" w:hAnsi="Times New Roman" w:cs="Times New Roman"/>
          <w:sz w:val="28"/>
          <w:szCs w:val="28"/>
        </w:rPr>
        <w:t xml:space="preserve"> млн. руб.</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 xml:space="preserve">  </w:t>
      </w:r>
      <w:r w:rsidRPr="0060738C">
        <w:rPr>
          <w:rStyle w:val="FontStyle11"/>
          <w:sz w:val="28"/>
          <w:szCs w:val="28"/>
        </w:rPr>
        <w:t>4</w:t>
      </w:r>
      <w:r>
        <w:rPr>
          <w:rStyle w:val="FontStyle11"/>
          <w:b w:val="0"/>
          <w:sz w:val="28"/>
          <w:szCs w:val="28"/>
        </w:rPr>
        <w:t>.</w:t>
      </w:r>
      <w:r w:rsidRPr="00AB46BB">
        <w:rPr>
          <w:rStyle w:val="FontStyle11"/>
          <w:b w:val="0"/>
          <w:sz w:val="28"/>
          <w:szCs w:val="28"/>
        </w:rPr>
        <w:t xml:space="preserve"> </w:t>
      </w:r>
      <w:r w:rsidRPr="00AB46BB">
        <w:rPr>
          <w:rStyle w:val="FontStyle11"/>
          <w:sz w:val="28"/>
          <w:szCs w:val="28"/>
        </w:rPr>
        <w:t>Объем инвестиций</w:t>
      </w:r>
      <w:r w:rsidRPr="00AB46BB">
        <w:rPr>
          <w:rStyle w:val="FontStyle11"/>
          <w:b w:val="0"/>
          <w:sz w:val="28"/>
          <w:szCs w:val="28"/>
        </w:rPr>
        <w:t xml:space="preserve"> в основной капитал за счет всех источников финансирования за 2012 год составил 2 588 100 тыс. рублей, в том числе по источникам финансирования:</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федеральный бюджет - 31 354,4 тыс. руб., что составляет 1,2 % от общего объема инвестиций;</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республиканский бюджет - 139 363,0 тыс. руб., или 5,4 % от общего объема инвестиций;</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местный бюджет - 58 775,0 тыс. руб., или 2,3 % от общего объема инвестиций;</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средства населения и предприятий - 2 358 650 тыс. руб. или 91,1 % от общего объема инвестиций.</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Рост инвестиций в основной капитал к 2011 году составил 105%, объем инвестиций на душу населения - 25,1 тыс. рублей.</w:t>
      </w:r>
    </w:p>
    <w:p w:rsidR="00AB46BB" w:rsidRPr="00AB46BB" w:rsidRDefault="00AB46BB" w:rsidP="0060738C">
      <w:pPr>
        <w:spacing w:after="0" w:line="240" w:lineRule="auto"/>
        <w:ind w:firstLine="709"/>
        <w:jc w:val="both"/>
        <w:rPr>
          <w:rStyle w:val="FontStyle11"/>
          <w:b w:val="0"/>
          <w:sz w:val="28"/>
          <w:szCs w:val="28"/>
        </w:rPr>
      </w:pPr>
      <w:r w:rsidRPr="00AB46BB">
        <w:rPr>
          <w:rStyle w:val="FontStyle11"/>
          <w:b w:val="0"/>
          <w:sz w:val="28"/>
          <w:szCs w:val="28"/>
        </w:rPr>
        <w:t>Объем средств, выделенных в рамках Республиканской инвестиционной программы за 2012 год и плановые показатели на 2013 год представлены в следующей таблице.</w:t>
      </w:r>
    </w:p>
    <w:p w:rsidR="00AB46BB" w:rsidRDefault="00AB46BB" w:rsidP="0060738C">
      <w:pPr>
        <w:pStyle w:val="Style6"/>
        <w:widowControl/>
        <w:spacing w:before="10"/>
        <w:jc w:val="right"/>
        <w:rPr>
          <w:rStyle w:val="FontStyle11"/>
        </w:rPr>
      </w:pPr>
      <w:r>
        <w:rPr>
          <w:rStyle w:val="FontStyle11"/>
        </w:rPr>
        <w:t>тыс. руб.</w:t>
      </w:r>
    </w:p>
    <w:tbl>
      <w:tblPr>
        <w:tblW w:w="0" w:type="auto"/>
        <w:tblInd w:w="-102" w:type="dxa"/>
        <w:tblLayout w:type="fixed"/>
        <w:tblCellMar>
          <w:left w:w="40" w:type="dxa"/>
          <w:right w:w="40" w:type="dxa"/>
        </w:tblCellMar>
        <w:tblLook w:val="0000"/>
      </w:tblPr>
      <w:tblGrid>
        <w:gridCol w:w="3123"/>
        <w:gridCol w:w="1123"/>
        <w:gridCol w:w="1090"/>
        <w:gridCol w:w="1219"/>
        <w:gridCol w:w="1100"/>
        <w:gridCol w:w="1008"/>
        <w:gridCol w:w="1210"/>
      </w:tblGrid>
      <w:tr w:rsidR="00AB46BB" w:rsidTr="009C39AB">
        <w:tc>
          <w:tcPr>
            <w:tcW w:w="3123" w:type="dxa"/>
            <w:tcBorders>
              <w:top w:val="single" w:sz="6" w:space="0" w:color="auto"/>
              <w:left w:val="single" w:sz="6" w:space="0" w:color="auto"/>
              <w:bottom w:val="nil"/>
              <w:right w:val="single" w:sz="6" w:space="0" w:color="auto"/>
            </w:tcBorders>
          </w:tcPr>
          <w:p w:rsidR="00AB46BB" w:rsidRDefault="00AB46BB" w:rsidP="009C39AB">
            <w:pPr>
              <w:pStyle w:val="Style3"/>
              <w:widowControl/>
              <w:spacing w:line="240" w:lineRule="auto"/>
              <w:ind w:left="946"/>
              <w:rPr>
                <w:rStyle w:val="FontStyle14"/>
              </w:rPr>
            </w:pPr>
            <w:r>
              <w:rPr>
                <w:rStyle w:val="FontStyle14"/>
              </w:rPr>
              <w:t>Объекты</w:t>
            </w:r>
          </w:p>
        </w:tc>
        <w:tc>
          <w:tcPr>
            <w:tcW w:w="3432" w:type="dxa"/>
            <w:gridSpan w:val="3"/>
            <w:tcBorders>
              <w:top w:val="single" w:sz="6" w:space="0" w:color="auto"/>
              <w:left w:val="single" w:sz="6" w:space="0" w:color="auto"/>
              <w:bottom w:val="single" w:sz="6" w:space="0" w:color="auto"/>
              <w:right w:val="single" w:sz="6" w:space="0" w:color="auto"/>
            </w:tcBorders>
          </w:tcPr>
          <w:p w:rsidR="00AB46BB" w:rsidRDefault="00AB46BB" w:rsidP="009C39AB">
            <w:pPr>
              <w:pStyle w:val="Style5"/>
              <w:widowControl/>
              <w:ind w:left="830"/>
              <w:rPr>
                <w:rStyle w:val="FontStyle15"/>
              </w:rPr>
            </w:pPr>
            <w:r>
              <w:rPr>
                <w:rStyle w:val="FontStyle15"/>
              </w:rPr>
              <w:t>2012 год (факт)</w:t>
            </w:r>
          </w:p>
        </w:tc>
        <w:tc>
          <w:tcPr>
            <w:tcW w:w="3318" w:type="dxa"/>
            <w:gridSpan w:val="3"/>
            <w:tcBorders>
              <w:top w:val="single" w:sz="6" w:space="0" w:color="auto"/>
              <w:left w:val="single" w:sz="6" w:space="0" w:color="auto"/>
              <w:bottom w:val="single" w:sz="6" w:space="0" w:color="auto"/>
              <w:right w:val="single" w:sz="6" w:space="0" w:color="auto"/>
            </w:tcBorders>
          </w:tcPr>
          <w:p w:rsidR="00AB46BB" w:rsidRDefault="00AB46BB" w:rsidP="009C39AB">
            <w:pPr>
              <w:pStyle w:val="Style5"/>
              <w:widowControl/>
              <w:ind w:left="782"/>
              <w:rPr>
                <w:rStyle w:val="FontStyle15"/>
              </w:rPr>
            </w:pPr>
            <w:r>
              <w:rPr>
                <w:rStyle w:val="FontStyle15"/>
              </w:rPr>
              <w:t>2013 год (план)</w:t>
            </w:r>
          </w:p>
        </w:tc>
      </w:tr>
      <w:tr w:rsidR="00AB46BB" w:rsidTr="009C39AB">
        <w:tc>
          <w:tcPr>
            <w:tcW w:w="3123" w:type="dxa"/>
            <w:tcBorders>
              <w:top w:val="nil"/>
              <w:left w:val="single" w:sz="6" w:space="0" w:color="auto"/>
              <w:bottom w:val="single" w:sz="6" w:space="0" w:color="auto"/>
              <w:right w:val="single" w:sz="6" w:space="0" w:color="auto"/>
            </w:tcBorders>
          </w:tcPr>
          <w:p w:rsidR="00AB46BB" w:rsidRDefault="00AB46BB" w:rsidP="009C39AB">
            <w:pPr>
              <w:rPr>
                <w:rStyle w:val="FontStyle15"/>
              </w:rPr>
            </w:pPr>
          </w:p>
          <w:p w:rsidR="00AB46BB" w:rsidRDefault="00AB46BB" w:rsidP="009C39AB">
            <w:pPr>
              <w:rPr>
                <w:rStyle w:val="FontStyle15"/>
              </w:rPr>
            </w:pP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3"/>
              <w:widowControl/>
              <w:spacing w:line="240" w:lineRule="auto"/>
              <w:rPr>
                <w:rStyle w:val="FontStyle14"/>
              </w:rPr>
            </w:pPr>
            <w:r>
              <w:rPr>
                <w:rStyle w:val="FontStyle14"/>
              </w:rPr>
              <w:t>всего</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3"/>
              <w:widowControl/>
              <w:rPr>
                <w:rStyle w:val="FontStyle14"/>
              </w:rPr>
            </w:pPr>
            <w:r>
              <w:rPr>
                <w:rStyle w:val="FontStyle14"/>
              </w:rPr>
              <w:t>феде</w:t>
            </w:r>
            <w:r>
              <w:rPr>
                <w:rStyle w:val="FontStyle14"/>
              </w:rPr>
              <w:softHyphen/>
              <w:t>ральный бюджет</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4"/>
              <w:widowControl/>
              <w:spacing w:line="250" w:lineRule="exact"/>
              <w:rPr>
                <w:rStyle w:val="FontStyle14"/>
              </w:rPr>
            </w:pPr>
            <w:r>
              <w:rPr>
                <w:rStyle w:val="FontStyle14"/>
              </w:rPr>
              <w:t>респуб</w:t>
            </w:r>
            <w:r>
              <w:rPr>
                <w:rStyle w:val="FontStyle14"/>
              </w:rPr>
              <w:softHyphen/>
              <w:t>ликанский бюджет</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3"/>
              <w:widowControl/>
              <w:spacing w:line="240" w:lineRule="auto"/>
              <w:rPr>
                <w:rStyle w:val="FontStyle14"/>
              </w:rPr>
            </w:pPr>
            <w:r>
              <w:rPr>
                <w:rStyle w:val="FontStyle14"/>
              </w:rPr>
              <w:t>всего</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3"/>
              <w:widowControl/>
              <w:ind w:firstLine="144"/>
              <w:rPr>
                <w:rStyle w:val="FontStyle14"/>
              </w:rPr>
            </w:pPr>
            <w:r>
              <w:rPr>
                <w:rStyle w:val="FontStyle14"/>
              </w:rPr>
              <w:t>феде</w:t>
            </w:r>
            <w:r>
              <w:rPr>
                <w:rStyle w:val="FontStyle14"/>
              </w:rPr>
              <w:softHyphen/>
              <w:t>ральный бюджет</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4"/>
              <w:widowControl/>
              <w:spacing w:line="254" w:lineRule="exact"/>
              <w:rPr>
                <w:rStyle w:val="FontStyle14"/>
              </w:rPr>
            </w:pPr>
            <w:r>
              <w:rPr>
                <w:rStyle w:val="FontStyle14"/>
              </w:rPr>
              <w:t>респуб</w:t>
            </w:r>
            <w:r>
              <w:rPr>
                <w:rStyle w:val="FontStyle14"/>
              </w:rPr>
              <w:softHyphen/>
              <w:t>ликанский бюджет</w:t>
            </w:r>
          </w:p>
        </w:tc>
      </w:tr>
      <w:tr w:rsidR="00AB46BB" w:rsidTr="009C39AB">
        <w:tc>
          <w:tcPr>
            <w:tcW w:w="3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3"/>
              <w:widowControl/>
              <w:spacing w:line="240" w:lineRule="auto"/>
              <w:rPr>
                <w:rStyle w:val="FontStyle14"/>
              </w:rPr>
            </w:pPr>
            <w:r>
              <w:rPr>
                <w:rStyle w:val="FontStyle14"/>
              </w:rPr>
              <w:t>Школа в новом МКР</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46 872,0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21"/>
              <w:rPr>
                <w:rStyle w:val="FontStyle13"/>
              </w:rPr>
            </w:pPr>
            <w:r>
              <w:rPr>
                <w:rStyle w:val="FontStyle13"/>
              </w:rPr>
              <w:t>46 872,0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715"/>
              <w:rPr>
                <w:rStyle w:val="FontStyle13"/>
              </w:rPr>
            </w:pPr>
            <w:r>
              <w:rPr>
                <w:rStyle w:val="FontStyle13"/>
              </w:rPr>
              <w:t>0,0</w:t>
            </w:r>
          </w:p>
        </w:tc>
      </w:tr>
      <w:tr w:rsidR="00AB46BB" w:rsidTr="009C39AB">
        <w:tc>
          <w:tcPr>
            <w:tcW w:w="3123" w:type="dxa"/>
            <w:tcBorders>
              <w:top w:val="single" w:sz="6" w:space="0" w:color="auto"/>
              <w:left w:val="single" w:sz="6" w:space="0" w:color="auto"/>
              <w:bottom w:val="single" w:sz="6" w:space="0" w:color="auto"/>
              <w:right w:val="single" w:sz="6" w:space="0" w:color="auto"/>
            </w:tcBorders>
            <w:vAlign w:val="center"/>
          </w:tcPr>
          <w:p w:rsidR="00AB46BB" w:rsidRDefault="00AB46BB" w:rsidP="009C39AB">
            <w:pPr>
              <w:pStyle w:val="Style4"/>
              <w:widowControl/>
              <w:spacing w:line="250" w:lineRule="exact"/>
              <w:ind w:left="10" w:hanging="10"/>
              <w:rPr>
                <w:rStyle w:val="FontStyle14"/>
              </w:rPr>
            </w:pPr>
            <w:r>
              <w:rPr>
                <w:rStyle w:val="FontStyle14"/>
              </w:rPr>
              <w:t>Лечебно-терапевтический корпус центральной городской больницы</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1800,0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341"/>
              <w:rPr>
                <w:rStyle w:val="FontStyle13"/>
              </w:rPr>
            </w:pPr>
            <w:r>
              <w:rPr>
                <w:rStyle w:val="FontStyle13"/>
              </w:rPr>
              <w:t>1800,0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11500,0</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16"/>
              <w:rPr>
                <w:rStyle w:val="FontStyle13"/>
              </w:rPr>
            </w:pPr>
            <w:r>
              <w:rPr>
                <w:rStyle w:val="FontStyle13"/>
              </w:rPr>
              <w:t>11500,0</w:t>
            </w:r>
          </w:p>
        </w:tc>
      </w:tr>
      <w:tr w:rsidR="00AB46BB" w:rsidTr="009C39AB">
        <w:tc>
          <w:tcPr>
            <w:tcW w:w="3123" w:type="dxa"/>
            <w:tcBorders>
              <w:top w:val="single" w:sz="6" w:space="0" w:color="auto"/>
              <w:left w:val="single" w:sz="6" w:space="0" w:color="auto"/>
              <w:bottom w:val="single" w:sz="6" w:space="0" w:color="auto"/>
              <w:right w:val="single" w:sz="6" w:space="0" w:color="auto"/>
            </w:tcBorders>
            <w:vAlign w:val="center"/>
          </w:tcPr>
          <w:p w:rsidR="00AB46BB" w:rsidRDefault="00AB46BB" w:rsidP="009C39AB">
            <w:pPr>
              <w:pStyle w:val="Style4"/>
              <w:widowControl/>
              <w:spacing w:line="259" w:lineRule="exact"/>
              <w:ind w:left="5" w:hanging="5"/>
              <w:rPr>
                <w:rStyle w:val="FontStyle14"/>
              </w:rPr>
            </w:pPr>
            <w:r>
              <w:rPr>
                <w:rStyle w:val="FontStyle14"/>
              </w:rPr>
              <w:t>Реконструкция озера «Рыбье»</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900,0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509"/>
              <w:rPr>
                <w:rStyle w:val="FontStyle13"/>
              </w:rPr>
            </w:pPr>
            <w:r>
              <w:rPr>
                <w:rStyle w:val="FontStyle13"/>
              </w:rPr>
              <w:t>900,0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50 000,0</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21"/>
              <w:rPr>
                <w:rStyle w:val="FontStyle13"/>
              </w:rPr>
            </w:pPr>
            <w:r>
              <w:rPr>
                <w:rStyle w:val="FontStyle13"/>
              </w:rPr>
              <w:t>50 000,0</w:t>
            </w:r>
          </w:p>
        </w:tc>
      </w:tr>
      <w:tr w:rsidR="00AB46BB" w:rsidTr="009C39AB">
        <w:tc>
          <w:tcPr>
            <w:tcW w:w="3123" w:type="dxa"/>
            <w:tcBorders>
              <w:top w:val="single" w:sz="6" w:space="0" w:color="auto"/>
              <w:left w:val="single" w:sz="6" w:space="0" w:color="auto"/>
              <w:bottom w:val="single" w:sz="6" w:space="0" w:color="auto"/>
              <w:right w:val="single" w:sz="6" w:space="0" w:color="auto"/>
            </w:tcBorders>
            <w:vAlign w:val="center"/>
          </w:tcPr>
          <w:p w:rsidR="00AB46BB" w:rsidRDefault="00AB46BB" w:rsidP="009C39AB">
            <w:pPr>
              <w:pStyle w:val="Style3"/>
              <w:widowControl/>
              <w:spacing w:line="250" w:lineRule="exact"/>
              <w:jc w:val="left"/>
              <w:rPr>
                <w:rStyle w:val="FontStyle14"/>
              </w:rPr>
            </w:pPr>
            <w:r>
              <w:rPr>
                <w:rStyle w:val="FontStyle14"/>
              </w:rPr>
              <w:t>Групповой водопровод</w:t>
            </w:r>
          </w:p>
          <w:p w:rsidR="00AB46BB" w:rsidRDefault="00AB46BB" w:rsidP="009C39AB">
            <w:pPr>
              <w:pStyle w:val="Style3"/>
              <w:widowControl/>
              <w:spacing w:line="250" w:lineRule="exact"/>
              <w:jc w:val="left"/>
              <w:rPr>
                <w:rStyle w:val="FontStyle14"/>
              </w:rPr>
            </w:pPr>
            <w:r>
              <w:rPr>
                <w:rStyle w:val="FontStyle14"/>
              </w:rPr>
              <w:t>Махачкала-Каспийск-Избербаш</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12 000,0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10 000,0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336"/>
              <w:rPr>
                <w:rStyle w:val="FontStyle13"/>
              </w:rPr>
            </w:pPr>
            <w:r>
              <w:rPr>
                <w:rStyle w:val="FontStyle13"/>
              </w:rPr>
              <w:t>2 000,0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2 000,0</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331"/>
              <w:rPr>
                <w:rStyle w:val="FontStyle13"/>
              </w:rPr>
            </w:pPr>
            <w:r>
              <w:rPr>
                <w:rStyle w:val="FontStyle13"/>
              </w:rPr>
              <w:t>2 000,0</w:t>
            </w:r>
          </w:p>
        </w:tc>
      </w:tr>
      <w:tr w:rsidR="00AB46BB" w:rsidTr="009C39AB">
        <w:tc>
          <w:tcPr>
            <w:tcW w:w="3123" w:type="dxa"/>
            <w:tcBorders>
              <w:top w:val="single" w:sz="6" w:space="0" w:color="auto"/>
              <w:left w:val="single" w:sz="6" w:space="0" w:color="auto"/>
              <w:bottom w:val="single" w:sz="6" w:space="0" w:color="auto"/>
              <w:right w:val="single" w:sz="6" w:space="0" w:color="auto"/>
            </w:tcBorders>
            <w:vAlign w:val="center"/>
          </w:tcPr>
          <w:p w:rsidR="00AB46BB" w:rsidRDefault="00AB46BB" w:rsidP="009C39AB">
            <w:pPr>
              <w:pStyle w:val="Style4"/>
              <w:widowControl/>
              <w:spacing w:line="250" w:lineRule="exact"/>
              <w:ind w:firstLine="5"/>
              <w:rPr>
                <w:rStyle w:val="FontStyle14"/>
              </w:rPr>
            </w:pPr>
            <w:r>
              <w:rPr>
                <w:rStyle w:val="FontStyle14"/>
              </w:rPr>
              <w:t>Развитие сетей водоснабжения и канализации новых МКР</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15 000,0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40"/>
              <w:rPr>
                <w:rStyle w:val="FontStyle13"/>
              </w:rPr>
            </w:pPr>
            <w:r>
              <w:rPr>
                <w:rStyle w:val="FontStyle13"/>
              </w:rPr>
              <w:t>15 000,0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3408,2</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35"/>
              <w:rPr>
                <w:rStyle w:val="FontStyle13"/>
              </w:rPr>
            </w:pPr>
            <w:r>
              <w:rPr>
                <w:rStyle w:val="FontStyle13"/>
              </w:rPr>
              <w:t>3408,2</w:t>
            </w:r>
          </w:p>
        </w:tc>
      </w:tr>
      <w:tr w:rsidR="00AB46BB" w:rsidTr="009C39AB">
        <w:tc>
          <w:tcPr>
            <w:tcW w:w="3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5"/>
              <w:widowControl/>
              <w:rPr>
                <w:rStyle w:val="FontStyle15"/>
              </w:rPr>
            </w:pPr>
            <w:r>
              <w:rPr>
                <w:rStyle w:val="FontStyle15"/>
              </w:rPr>
              <w:t>Итого по всем объектам</w:t>
            </w:r>
          </w:p>
        </w:tc>
        <w:tc>
          <w:tcPr>
            <w:tcW w:w="1123"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5"/>
              <w:widowControl/>
              <w:jc w:val="right"/>
              <w:rPr>
                <w:rStyle w:val="FontStyle15"/>
              </w:rPr>
            </w:pPr>
            <w:r>
              <w:rPr>
                <w:rStyle w:val="FontStyle15"/>
              </w:rPr>
              <w:t>80772,0</w:t>
            </w:r>
          </w:p>
        </w:tc>
        <w:tc>
          <w:tcPr>
            <w:tcW w:w="109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10000,0</w:t>
            </w:r>
          </w:p>
        </w:tc>
        <w:tc>
          <w:tcPr>
            <w:tcW w:w="1219"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312"/>
              <w:rPr>
                <w:rStyle w:val="FontStyle13"/>
              </w:rPr>
            </w:pPr>
            <w:r>
              <w:rPr>
                <w:rStyle w:val="FontStyle13"/>
              </w:rPr>
              <w:t>70772,0</w:t>
            </w:r>
          </w:p>
        </w:tc>
        <w:tc>
          <w:tcPr>
            <w:tcW w:w="110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5"/>
              <w:widowControl/>
              <w:jc w:val="right"/>
              <w:rPr>
                <w:rStyle w:val="FontStyle15"/>
              </w:rPr>
            </w:pPr>
            <w:r>
              <w:rPr>
                <w:rStyle w:val="FontStyle15"/>
              </w:rPr>
              <w:t>69908,2</w:t>
            </w:r>
          </w:p>
        </w:tc>
        <w:tc>
          <w:tcPr>
            <w:tcW w:w="1008"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jc w:val="right"/>
              <w:rPr>
                <w:rStyle w:val="FontStyle13"/>
              </w:rPr>
            </w:pPr>
            <w:r>
              <w:rPr>
                <w:rStyle w:val="FontStyle13"/>
              </w:rPr>
              <w:t>0,0</w:t>
            </w:r>
          </w:p>
        </w:tc>
        <w:tc>
          <w:tcPr>
            <w:tcW w:w="1210" w:type="dxa"/>
            <w:tcBorders>
              <w:top w:val="single" w:sz="6" w:space="0" w:color="auto"/>
              <w:left w:val="single" w:sz="6" w:space="0" w:color="auto"/>
              <w:bottom w:val="single" w:sz="6" w:space="0" w:color="auto"/>
              <w:right w:val="single" w:sz="6" w:space="0" w:color="auto"/>
            </w:tcBorders>
          </w:tcPr>
          <w:p w:rsidR="00AB46BB" w:rsidRDefault="00AB46BB" w:rsidP="009C39AB">
            <w:pPr>
              <w:pStyle w:val="Style7"/>
              <w:widowControl/>
              <w:ind w:left="283"/>
              <w:rPr>
                <w:rStyle w:val="FontStyle13"/>
              </w:rPr>
            </w:pPr>
            <w:r>
              <w:rPr>
                <w:rStyle w:val="FontStyle13"/>
              </w:rPr>
              <w:t>69908,2</w:t>
            </w:r>
          </w:p>
        </w:tc>
      </w:tr>
    </w:tbl>
    <w:p w:rsidR="00AB46BB" w:rsidRPr="00E87923" w:rsidRDefault="00AB46BB" w:rsidP="00AB46BB">
      <w:pPr>
        <w:pStyle w:val="newncpi"/>
        <w:spacing w:before="0" w:beforeAutospacing="0" w:after="0" w:afterAutospacing="0"/>
        <w:ind w:firstLine="709"/>
        <w:jc w:val="both"/>
      </w:pPr>
    </w:p>
    <w:p w:rsidR="00AB46BB" w:rsidRPr="0060738C" w:rsidRDefault="00AB46BB" w:rsidP="0060738C">
      <w:pPr>
        <w:spacing w:after="0" w:line="240" w:lineRule="auto"/>
        <w:ind w:firstLine="709"/>
        <w:jc w:val="both"/>
        <w:rPr>
          <w:rFonts w:ascii="Times New Roman" w:hAnsi="Times New Roman" w:cs="Times New Roman"/>
          <w:sz w:val="28"/>
          <w:szCs w:val="28"/>
        </w:rPr>
      </w:pPr>
      <w:r w:rsidRPr="0060738C">
        <w:rPr>
          <w:rFonts w:ascii="Times New Roman" w:hAnsi="Times New Roman" w:cs="Times New Roman"/>
          <w:sz w:val="28"/>
          <w:szCs w:val="28"/>
        </w:rPr>
        <w:t xml:space="preserve"> Целью инвестиционной деятельности является создание условий для привлечения  инвестиций в экономику города.</w:t>
      </w:r>
    </w:p>
    <w:p w:rsidR="00AB46BB" w:rsidRPr="0060738C" w:rsidRDefault="00AB46BB" w:rsidP="0060738C">
      <w:pPr>
        <w:spacing w:after="0" w:line="240" w:lineRule="auto"/>
        <w:ind w:firstLine="709"/>
        <w:jc w:val="both"/>
        <w:rPr>
          <w:rFonts w:ascii="Times New Roman" w:hAnsi="Times New Roman" w:cs="Times New Roman"/>
          <w:sz w:val="28"/>
          <w:szCs w:val="28"/>
        </w:rPr>
      </w:pPr>
      <w:r w:rsidRPr="0060738C">
        <w:rPr>
          <w:rFonts w:ascii="Times New Roman" w:hAnsi="Times New Roman" w:cs="Times New Roman"/>
          <w:sz w:val="28"/>
          <w:szCs w:val="28"/>
        </w:rPr>
        <w:t xml:space="preserve">Бюджетные инвестиции в 2012 году составили 229,5 млн. рублей 8,9% в общем объеме инвестиций. По-прежнему бюджетные средства сохраняют социальную направленность и  направлены на строительство социального жилья; на строительство и капитальный ремонт объектов соцкультбыта и </w:t>
      </w:r>
      <w:r w:rsidRPr="0060738C">
        <w:rPr>
          <w:rFonts w:ascii="Times New Roman" w:hAnsi="Times New Roman" w:cs="Times New Roman"/>
          <w:sz w:val="28"/>
          <w:szCs w:val="28"/>
        </w:rPr>
        <w:lastRenderedPageBreak/>
        <w:t>производственного назначения; строительство и реконструкцию объектов коммунального хозяйства  новых МКР.</w:t>
      </w:r>
    </w:p>
    <w:p w:rsidR="00AB46BB" w:rsidRPr="0060738C" w:rsidRDefault="00AB46BB" w:rsidP="0060738C">
      <w:pPr>
        <w:spacing w:after="0" w:line="240" w:lineRule="auto"/>
        <w:ind w:firstLine="709"/>
        <w:jc w:val="both"/>
        <w:rPr>
          <w:rFonts w:ascii="Times New Roman" w:hAnsi="Times New Roman" w:cs="Times New Roman"/>
          <w:sz w:val="28"/>
          <w:szCs w:val="28"/>
        </w:rPr>
      </w:pPr>
      <w:r w:rsidRPr="0060738C">
        <w:rPr>
          <w:rFonts w:ascii="Times New Roman" w:hAnsi="Times New Roman" w:cs="Times New Roman"/>
          <w:sz w:val="28"/>
          <w:szCs w:val="28"/>
        </w:rPr>
        <w:t>За счет  всех  источников финансирования  за январь – декабрь 2012 года введено103,3 тыс. кв. метров  общей  площади новых жилых домов, в том числе 25,6 тыс. кв. метров за счет средств населения.</w:t>
      </w:r>
    </w:p>
    <w:p w:rsidR="00AB46BB" w:rsidRPr="0060738C" w:rsidRDefault="00AB46BB" w:rsidP="0060738C">
      <w:pPr>
        <w:spacing w:after="0" w:line="240" w:lineRule="auto"/>
        <w:ind w:firstLine="709"/>
        <w:jc w:val="both"/>
        <w:rPr>
          <w:rFonts w:ascii="Times New Roman" w:hAnsi="Times New Roman" w:cs="Times New Roman"/>
          <w:sz w:val="28"/>
          <w:szCs w:val="28"/>
        </w:rPr>
      </w:pPr>
      <w:r w:rsidRPr="0060738C">
        <w:rPr>
          <w:rFonts w:ascii="Times New Roman" w:hAnsi="Times New Roman" w:cs="Times New Roman"/>
          <w:sz w:val="28"/>
          <w:szCs w:val="28"/>
        </w:rPr>
        <w:t>В 2014-2016 годах среднегодовые темпы прироста инвестиций в основной капитал за счет всех источников финансирования составят 5-10 %.</w:t>
      </w:r>
    </w:p>
    <w:p w:rsidR="00AB46BB" w:rsidRPr="0060738C" w:rsidRDefault="00AB46BB" w:rsidP="0060738C">
      <w:pPr>
        <w:spacing w:after="0" w:line="240" w:lineRule="auto"/>
        <w:ind w:firstLine="709"/>
        <w:rPr>
          <w:rFonts w:ascii="Times New Roman" w:hAnsi="Times New Roman" w:cs="Times New Roman"/>
          <w:sz w:val="28"/>
          <w:szCs w:val="28"/>
        </w:rPr>
      </w:pPr>
      <w:r w:rsidRPr="0060738C">
        <w:rPr>
          <w:rFonts w:ascii="Times New Roman" w:hAnsi="Times New Roman" w:cs="Times New Roman"/>
          <w:sz w:val="28"/>
          <w:szCs w:val="28"/>
        </w:rPr>
        <w:t xml:space="preserve">Динамичное развитие всех сфер жизнедеятельности муниципального образования городской округ «город Каспийск» в 2010-2012 гг. обусловлено привлечением инвестиций. </w:t>
      </w:r>
    </w:p>
    <w:tbl>
      <w:tblPr>
        <w:tblW w:w="10065" w:type="dxa"/>
        <w:tblInd w:w="40" w:type="dxa"/>
        <w:tblLayout w:type="fixed"/>
        <w:tblCellMar>
          <w:left w:w="40" w:type="dxa"/>
          <w:right w:w="40" w:type="dxa"/>
        </w:tblCellMar>
        <w:tblLook w:val="0000"/>
      </w:tblPr>
      <w:tblGrid>
        <w:gridCol w:w="1843"/>
        <w:gridCol w:w="1418"/>
        <w:gridCol w:w="972"/>
        <w:gridCol w:w="972"/>
        <w:gridCol w:w="972"/>
        <w:gridCol w:w="972"/>
        <w:gridCol w:w="972"/>
        <w:gridCol w:w="972"/>
        <w:gridCol w:w="972"/>
      </w:tblGrid>
      <w:tr w:rsidR="00AB46BB" w:rsidRPr="00520597" w:rsidTr="009C39AB">
        <w:tc>
          <w:tcPr>
            <w:tcW w:w="1843" w:type="dxa"/>
            <w:tcBorders>
              <w:top w:val="single" w:sz="6" w:space="0" w:color="auto"/>
              <w:left w:val="single" w:sz="6" w:space="0" w:color="auto"/>
              <w:bottom w:val="single" w:sz="6" w:space="0" w:color="auto"/>
              <w:right w:val="single" w:sz="6" w:space="0" w:color="auto"/>
            </w:tcBorders>
          </w:tcPr>
          <w:p w:rsidR="00AB46BB" w:rsidRPr="00520597" w:rsidRDefault="00AB46BB" w:rsidP="009C39AB">
            <w:pPr>
              <w:pStyle w:val="Style5"/>
              <w:widowControl/>
              <w:spacing w:line="240" w:lineRule="auto"/>
              <w:rPr>
                <w:rStyle w:val="FontStyle14"/>
              </w:rPr>
            </w:pPr>
          </w:p>
        </w:tc>
        <w:tc>
          <w:tcPr>
            <w:tcW w:w="1418" w:type="dxa"/>
            <w:tcBorders>
              <w:top w:val="single" w:sz="6" w:space="0" w:color="auto"/>
              <w:left w:val="single" w:sz="6" w:space="0" w:color="auto"/>
              <w:bottom w:val="single" w:sz="6" w:space="0" w:color="auto"/>
              <w:right w:val="single" w:sz="6" w:space="0" w:color="auto"/>
            </w:tcBorders>
          </w:tcPr>
          <w:p w:rsidR="00AB46BB" w:rsidRPr="00520597" w:rsidRDefault="00AB46BB" w:rsidP="009C39AB">
            <w:pPr>
              <w:pStyle w:val="Style5"/>
              <w:widowControl/>
              <w:spacing w:line="240" w:lineRule="auto"/>
              <w:rPr>
                <w:rStyle w:val="FontStyle14"/>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2010</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2011</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2012</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2013</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2014</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2015</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2016</w:t>
            </w:r>
          </w:p>
          <w:p w:rsidR="00AB46BB" w:rsidRPr="003A0EDD" w:rsidRDefault="00AB46BB" w:rsidP="009C39AB">
            <w:pPr>
              <w:pStyle w:val="Style8"/>
              <w:widowControl/>
              <w:rPr>
                <w:b/>
              </w:rPr>
            </w:pPr>
          </w:p>
        </w:tc>
      </w:tr>
      <w:tr w:rsidR="00AB46BB" w:rsidRPr="003A0EDD" w:rsidTr="009C39AB">
        <w:tc>
          <w:tcPr>
            <w:tcW w:w="1843"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Всего инвестиций</w:t>
            </w:r>
          </w:p>
        </w:tc>
        <w:tc>
          <w:tcPr>
            <w:tcW w:w="1418"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млн. руб.</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2350,0</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2464,9</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2588,1</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2913,0</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3060,8</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3205,8</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3365,2</w:t>
            </w:r>
          </w:p>
        </w:tc>
      </w:tr>
    </w:tbl>
    <w:p w:rsidR="00AB46BB" w:rsidRPr="00520597" w:rsidRDefault="00AB46BB" w:rsidP="00AB46BB">
      <w:pPr>
        <w:pStyle w:val="2"/>
        <w:ind w:firstLine="624"/>
        <w:rPr>
          <w:szCs w:val="28"/>
        </w:rPr>
      </w:pPr>
    </w:p>
    <w:p w:rsidR="00AB46BB" w:rsidRPr="0060738C" w:rsidRDefault="00AB46BB" w:rsidP="00AB46BB">
      <w:pPr>
        <w:pStyle w:val="21"/>
        <w:spacing w:after="0" w:line="240" w:lineRule="auto"/>
        <w:ind w:left="0" w:firstLine="624"/>
        <w:jc w:val="both"/>
        <w:rPr>
          <w:sz w:val="28"/>
          <w:szCs w:val="28"/>
        </w:rPr>
      </w:pPr>
      <w:r w:rsidRPr="0060738C">
        <w:rPr>
          <w:sz w:val="28"/>
          <w:szCs w:val="28"/>
        </w:rPr>
        <w:t>Приоритетным направлением вложения инвестиций остается жилищное строительство.</w:t>
      </w:r>
    </w:p>
    <w:p w:rsidR="00AB46BB" w:rsidRPr="00594927" w:rsidRDefault="00AB46BB" w:rsidP="00AB46BB">
      <w:pPr>
        <w:pStyle w:val="21"/>
        <w:spacing w:after="0" w:line="240" w:lineRule="auto"/>
        <w:ind w:left="0" w:firstLine="624"/>
        <w:jc w:val="both"/>
        <w:rPr>
          <w:sz w:val="24"/>
          <w:szCs w:val="24"/>
        </w:rPr>
      </w:pPr>
    </w:p>
    <w:tbl>
      <w:tblPr>
        <w:tblW w:w="10491" w:type="dxa"/>
        <w:tblInd w:w="-386" w:type="dxa"/>
        <w:tblLayout w:type="fixed"/>
        <w:tblCellMar>
          <w:left w:w="40" w:type="dxa"/>
          <w:right w:w="40" w:type="dxa"/>
        </w:tblCellMar>
        <w:tblLook w:val="0000"/>
      </w:tblPr>
      <w:tblGrid>
        <w:gridCol w:w="2978"/>
        <w:gridCol w:w="709"/>
        <w:gridCol w:w="972"/>
        <w:gridCol w:w="972"/>
        <w:gridCol w:w="972"/>
        <w:gridCol w:w="972"/>
        <w:gridCol w:w="972"/>
        <w:gridCol w:w="972"/>
        <w:gridCol w:w="972"/>
      </w:tblGrid>
      <w:tr w:rsidR="00AB46BB" w:rsidRPr="003A0EDD" w:rsidTr="00594882">
        <w:tc>
          <w:tcPr>
            <w:tcW w:w="2978"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spacing w:line="278" w:lineRule="exact"/>
              <w:ind w:left="360"/>
              <w:rPr>
                <w:b/>
                <w:bCs/>
              </w:rPr>
            </w:pPr>
          </w:p>
        </w:tc>
        <w:tc>
          <w:tcPr>
            <w:tcW w:w="709"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rPr>
                <w:b/>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2010</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jc w:val="center"/>
              <w:rPr>
                <w:rStyle w:val="FontStyle14"/>
              </w:rPr>
            </w:pPr>
            <w:r w:rsidRPr="003A0EDD">
              <w:rPr>
                <w:rStyle w:val="FontStyle14"/>
              </w:rPr>
              <w:t>2011</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widowControl/>
              <w:spacing w:line="240" w:lineRule="auto"/>
              <w:rPr>
                <w:rStyle w:val="FontStyle14"/>
              </w:rPr>
            </w:pPr>
            <w:r w:rsidRPr="003A0EDD">
              <w:rPr>
                <w:rStyle w:val="FontStyle14"/>
              </w:rPr>
              <w:t>2012</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2013</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2014</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2015</w:t>
            </w: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8"/>
              <w:widowControl/>
              <w:rPr>
                <w:b/>
              </w:rPr>
            </w:pPr>
            <w:r w:rsidRPr="003A0EDD">
              <w:rPr>
                <w:b/>
              </w:rPr>
              <w:t>2016</w:t>
            </w:r>
          </w:p>
          <w:p w:rsidR="00AB46BB" w:rsidRPr="003A0EDD" w:rsidRDefault="00AB46BB" w:rsidP="009C39AB">
            <w:pPr>
              <w:pStyle w:val="Style8"/>
              <w:widowControl/>
              <w:rPr>
                <w:b/>
              </w:rPr>
            </w:pPr>
          </w:p>
        </w:tc>
      </w:tr>
      <w:tr w:rsidR="00AB46BB" w:rsidRPr="003A0EDD" w:rsidTr="00594882">
        <w:tc>
          <w:tcPr>
            <w:tcW w:w="2978" w:type="dxa"/>
            <w:tcBorders>
              <w:top w:val="single" w:sz="6" w:space="0" w:color="auto"/>
              <w:left w:val="single" w:sz="6" w:space="0" w:color="auto"/>
              <w:bottom w:val="single" w:sz="6" w:space="0" w:color="auto"/>
              <w:right w:val="single" w:sz="6" w:space="0" w:color="auto"/>
            </w:tcBorders>
          </w:tcPr>
          <w:p w:rsidR="00AB46BB" w:rsidRPr="0060738C" w:rsidRDefault="00AB46BB" w:rsidP="009C39AB">
            <w:pPr>
              <w:pStyle w:val="Style5"/>
              <w:spacing w:line="278" w:lineRule="exact"/>
              <w:ind w:left="360"/>
              <w:jc w:val="center"/>
              <w:rPr>
                <w:rStyle w:val="FontStyle12"/>
                <w:bCs/>
                <w:sz w:val="24"/>
                <w:szCs w:val="24"/>
              </w:rPr>
            </w:pPr>
            <w:r w:rsidRPr="0060738C">
              <w:rPr>
                <w:rStyle w:val="FontStyle12"/>
                <w:bCs/>
                <w:sz w:val="24"/>
                <w:szCs w:val="24"/>
              </w:rPr>
              <w:t xml:space="preserve">Ввод в </w:t>
            </w:r>
            <w:r w:rsidRPr="0060738C">
              <w:rPr>
                <w:rStyle w:val="FontStyle11"/>
                <w:b w:val="0"/>
                <w:sz w:val="24"/>
                <w:szCs w:val="24"/>
              </w:rPr>
              <w:t>эксплуатацию</w:t>
            </w:r>
            <w:r w:rsidRPr="0060738C">
              <w:rPr>
                <w:rStyle w:val="FontStyle11"/>
                <w:sz w:val="24"/>
                <w:szCs w:val="24"/>
              </w:rPr>
              <w:t xml:space="preserve"> </w:t>
            </w:r>
            <w:r w:rsidRPr="0060738C">
              <w:rPr>
                <w:rStyle w:val="FontStyle12"/>
                <w:bCs/>
                <w:sz w:val="24"/>
                <w:szCs w:val="24"/>
              </w:rPr>
              <w:t xml:space="preserve">жилых домов за </w:t>
            </w:r>
            <w:r w:rsidRPr="0060738C">
              <w:rPr>
                <w:rStyle w:val="FontStyle11"/>
                <w:b w:val="0"/>
                <w:sz w:val="24"/>
                <w:szCs w:val="24"/>
              </w:rPr>
              <w:t>счет</w:t>
            </w:r>
            <w:r w:rsidRPr="0060738C">
              <w:rPr>
                <w:rStyle w:val="FontStyle11"/>
                <w:sz w:val="24"/>
                <w:szCs w:val="24"/>
              </w:rPr>
              <w:t xml:space="preserve"> </w:t>
            </w:r>
            <w:r w:rsidRPr="0060738C">
              <w:rPr>
                <w:rStyle w:val="FontStyle12"/>
                <w:bCs/>
                <w:sz w:val="24"/>
                <w:szCs w:val="24"/>
              </w:rPr>
              <w:t>всех источников финансирования</w:t>
            </w:r>
          </w:p>
        </w:tc>
        <w:tc>
          <w:tcPr>
            <w:tcW w:w="709"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2"/>
                <w:bCs/>
              </w:rPr>
            </w:pPr>
            <w:r w:rsidRPr="003A0EDD">
              <w:rPr>
                <w:rStyle w:val="FontStyle12"/>
                <w:bCs/>
              </w:rPr>
              <w:t>тыс. кв. м.</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2"/>
                <w:bCs/>
              </w:rPr>
            </w:pPr>
            <w:r w:rsidRPr="003A0EDD">
              <w:rPr>
                <w:rStyle w:val="FontStyle12"/>
                <w:bCs/>
              </w:rPr>
              <w:t>82,8</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2"/>
                <w:bCs/>
              </w:rPr>
            </w:pPr>
            <w:r w:rsidRPr="003A0EDD">
              <w:rPr>
                <w:rStyle w:val="FontStyle12"/>
                <w:bCs/>
              </w:rPr>
              <w:t>94,8</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2"/>
                <w:bCs/>
              </w:rPr>
            </w:pPr>
            <w:r w:rsidRPr="003A0EDD">
              <w:rPr>
                <w:rStyle w:val="FontStyle12"/>
                <w:bCs/>
              </w:rPr>
              <w:t>103,3</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ind w:left="235"/>
              <w:jc w:val="center"/>
              <w:rPr>
                <w:bCs/>
              </w:rPr>
            </w:pPr>
            <w:r w:rsidRPr="003A0EDD">
              <w:rPr>
                <w:bCs/>
              </w:rPr>
              <w:t>110,0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ind w:left="235"/>
              <w:jc w:val="center"/>
              <w:rPr>
                <w:bCs/>
              </w:rPr>
            </w:pPr>
            <w:r w:rsidRPr="003A0EDD">
              <w:rPr>
                <w:bCs/>
              </w:rPr>
              <w:t>110,0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spacing w:line="240" w:lineRule="exact"/>
              <w:ind w:left="216"/>
              <w:jc w:val="center"/>
              <w:rPr>
                <w:rStyle w:val="FontStyle14"/>
                <w:b w:val="0"/>
              </w:rPr>
            </w:pPr>
            <w:r w:rsidRPr="003A0EDD">
              <w:rPr>
                <w:rStyle w:val="FontStyle14"/>
              </w:rPr>
              <w:t>110,0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widowControl/>
              <w:spacing w:line="245" w:lineRule="exact"/>
              <w:ind w:left="216"/>
              <w:rPr>
                <w:rStyle w:val="FontStyle15"/>
                <w:b w:val="0"/>
              </w:rPr>
            </w:pPr>
            <w:r w:rsidRPr="003A0EDD">
              <w:rPr>
                <w:rStyle w:val="FontStyle15"/>
              </w:rPr>
              <w:t>110,0</w:t>
            </w:r>
          </w:p>
        </w:tc>
      </w:tr>
      <w:tr w:rsidR="00AB46BB" w:rsidRPr="003A0EDD" w:rsidTr="00594882">
        <w:tc>
          <w:tcPr>
            <w:tcW w:w="2978"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spacing w:line="278" w:lineRule="exact"/>
              <w:ind w:left="360"/>
              <w:rPr>
                <w:rStyle w:val="FontStyle13"/>
                <w:bCs/>
              </w:rPr>
            </w:pPr>
            <w:r w:rsidRPr="003A0EDD">
              <w:rPr>
                <w:rStyle w:val="FontStyle13"/>
                <w:bCs/>
              </w:rPr>
              <w:t>в том числе:</w:t>
            </w:r>
          </w:p>
        </w:tc>
        <w:tc>
          <w:tcPr>
            <w:tcW w:w="709"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jc w:val="center"/>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jc w:val="center"/>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ind w:left="235"/>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ind w:left="235"/>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spacing w:line="240" w:lineRule="exact"/>
              <w:ind w:left="216"/>
              <w:rPr>
                <w:bCs/>
              </w:rPr>
            </w:pPr>
          </w:p>
        </w:tc>
        <w:tc>
          <w:tcPr>
            <w:tcW w:w="972"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spacing w:line="245" w:lineRule="exact"/>
              <w:ind w:left="240" w:hanging="24"/>
              <w:rPr>
                <w:bCs/>
              </w:rPr>
            </w:pPr>
          </w:p>
        </w:tc>
      </w:tr>
      <w:tr w:rsidR="00AB46BB" w:rsidRPr="003A0EDD" w:rsidTr="00594882">
        <w:tc>
          <w:tcPr>
            <w:tcW w:w="2978" w:type="dxa"/>
            <w:tcBorders>
              <w:top w:val="single" w:sz="6" w:space="0" w:color="auto"/>
              <w:left w:val="single" w:sz="6" w:space="0" w:color="auto"/>
              <w:bottom w:val="single" w:sz="6" w:space="0" w:color="auto"/>
              <w:right w:val="single" w:sz="6" w:space="0" w:color="auto"/>
            </w:tcBorders>
          </w:tcPr>
          <w:p w:rsidR="00AB46BB" w:rsidRPr="0060738C" w:rsidRDefault="00AB46BB" w:rsidP="009C39AB">
            <w:pPr>
              <w:pStyle w:val="Style5"/>
              <w:spacing w:line="278" w:lineRule="exact"/>
              <w:ind w:left="360"/>
              <w:jc w:val="center"/>
              <w:rPr>
                <w:rStyle w:val="FontStyle13"/>
                <w:bCs/>
                <w:sz w:val="24"/>
                <w:szCs w:val="24"/>
              </w:rPr>
            </w:pPr>
            <w:r w:rsidRPr="0060738C">
              <w:rPr>
                <w:rStyle w:val="FontStyle13"/>
                <w:bCs/>
                <w:sz w:val="24"/>
                <w:szCs w:val="24"/>
              </w:rPr>
              <w:t xml:space="preserve">индивидуальное жилищное </w:t>
            </w:r>
          </w:p>
          <w:p w:rsidR="00AB46BB" w:rsidRPr="003A0EDD" w:rsidRDefault="00AB46BB" w:rsidP="009C39AB">
            <w:pPr>
              <w:pStyle w:val="Style5"/>
              <w:spacing w:line="278" w:lineRule="exact"/>
              <w:ind w:left="360"/>
              <w:jc w:val="center"/>
              <w:rPr>
                <w:rStyle w:val="FontStyle13"/>
                <w:bCs/>
              </w:rPr>
            </w:pPr>
            <w:r w:rsidRPr="0060738C">
              <w:rPr>
                <w:rStyle w:val="FontStyle13"/>
                <w:bCs/>
                <w:sz w:val="24"/>
                <w:szCs w:val="24"/>
              </w:rPr>
              <w:t>строительство</w:t>
            </w:r>
          </w:p>
        </w:tc>
        <w:tc>
          <w:tcPr>
            <w:tcW w:w="709" w:type="dxa"/>
            <w:tcBorders>
              <w:top w:val="single" w:sz="6" w:space="0" w:color="auto"/>
              <w:left w:val="single" w:sz="6" w:space="0" w:color="auto"/>
              <w:bottom w:val="single" w:sz="6" w:space="0" w:color="auto"/>
              <w:right w:val="single" w:sz="6" w:space="0" w:color="auto"/>
            </w:tcBorders>
          </w:tcPr>
          <w:p w:rsidR="00AB46BB" w:rsidRPr="003A0EDD" w:rsidRDefault="00AB46BB" w:rsidP="009C39AB">
            <w:pPr>
              <w:pStyle w:val="Style5"/>
              <w:rPr>
                <w:rStyle w:val="FontStyle13"/>
                <w:bCs/>
              </w:rPr>
            </w:pPr>
            <w:r w:rsidRPr="003A0EDD">
              <w:rPr>
                <w:rStyle w:val="FontStyle13"/>
                <w:bCs/>
              </w:rPr>
              <w:t>тыс. кв. м.</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3"/>
                <w:bCs/>
              </w:rPr>
            </w:pPr>
            <w:r w:rsidRPr="003A0EDD">
              <w:rPr>
                <w:rStyle w:val="FontStyle13"/>
                <w:bCs/>
              </w:rPr>
              <w:t>41,7</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3"/>
                <w:bCs/>
              </w:rPr>
            </w:pPr>
            <w:r w:rsidRPr="003A0EDD">
              <w:rPr>
                <w:rStyle w:val="FontStyle13"/>
                <w:bCs/>
              </w:rPr>
              <w:t>44,0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rStyle w:val="FontStyle13"/>
                <w:bCs/>
              </w:rPr>
            </w:pPr>
            <w:r w:rsidRPr="003A0EDD">
              <w:rPr>
                <w:rStyle w:val="FontStyle13"/>
                <w:bCs/>
              </w:rPr>
              <w:t>25,6</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ind w:left="235"/>
              <w:jc w:val="center"/>
              <w:rPr>
                <w:bCs/>
              </w:rPr>
            </w:pPr>
            <w:r w:rsidRPr="003A0EDD">
              <w:rPr>
                <w:bCs/>
              </w:rPr>
              <w:t>26,9</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jc w:val="center"/>
              <w:rPr>
                <w:bCs/>
              </w:rPr>
            </w:pPr>
            <w:r>
              <w:rPr>
                <w:bCs/>
              </w:rPr>
              <w:t>27,0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spacing w:line="240" w:lineRule="exact"/>
              <w:ind w:left="216"/>
              <w:jc w:val="center"/>
              <w:rPr>
                <w:rStyle w:val="FontStyle16"/>
                <w:bCs/>
              </w:rPr>
            </w:pPr>
            <w:r>
              <w:rPr>
                <w:rStyle w:val="FontStyle16"/>
                <w:bCs/>
              </w:rPr>
              <w:t>27,0</w:t>
            </w:r>
          </w:p>
        </w:tc>
        <w:tc>
          <w:tcPr>
            <w:tcW w:w="972" w:type="dxa"/>
            <w:tcBorders>
              <w:top w:val="single" w:sz="6" w:space="0" w:color="auto"/>
              <w:left w:val="single" w:sz="6" w:space="0" w:color="auto"/>
              <w:bottom w:val="single" w:sz="6" w:space="0" w:color="auto"/>
              <w:right w:val="single" w:sz="6" w:space="0" w:color="auto"/>
            </w:tcBorders>
            <w:vAlign w:val="center"/>
          </w:tcPr>
          <w:p w:rsidR="00AB46BB" w:rsidRPr="003A0EDD" w:rsidRDefault="00AB46BB" w:rsidP="009C39AB">
            <w:pPr>
              <w:pStyle w:val="Style5"/>
              <w:spacing w:line="245" w:lineRule="exact"/>
              <w:ind w:left="240" w:hanging="24"/>
              <w:jc w:val="center"/>
              <w:rPr>
                <w:bCs/>
              </w:rPr>
            </w:pPr>
            <w:r>
              <w:rPr>
                <w:bCs/>
              </w:rPr>
              <w:t>27,0</w:t>
            </w:r>
          </w:p>
        </w:tc>
      </w:tr>
    </w:tbl>
    <w:p w:rsidR="00C52519" w:rsidRPr="00B300EE" w:rsidRDefault="00C52519" w:rsidP="0060738C">
      <w:pPr>
        <w:pStyle w:val="a5"/>
        <w:jc w:val="both"/>
        <w:rPr>
          <w:rFonts w:ascii="Times New Roman" w:hAnsi="Times New Roman" w:cs="Times New Roman"/>
          <w:sz w:val="28"/>
          <w:szCs w:val="28"/>
        </w:rPr>
      </w:pPr>
    </w:p>
    <w:p w:rsidR="00D23FB6" w:rsidRDefault="00AB46BB" w:rsidP="006073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52519" w:rsidRPr="00B300EE">
        <w:rPr>
          <w:rFonts w:ascii="Times New Roman" w:hAnsi="Times New Roman" w:cs="Times New Roman"/>
          <w:b/>
          <w:sz w:val="28"/>
          <w:szCs w:val="28"/>
        </w:rPr>
        <w:t xml:space="preserve">. </w:t>
      </w:r>
      <w:r w:rsidR="00C52519" w:rsidRPr="00B300EE">
        <w:rPr>
          <w:rFonts w:ascii="Times New Roman" w:hAnsi="Times New Roman" w:cs="Times New Roman"/>
          <w:sz w:val="28"/>
          <w:szCs w:val="28"/>
        </w:rPr>
        <w:t>В разделах «Образование» и «Здравоохранение» представлены мероприятия по увеличению охвата школьными и дошкольными учреждениями, капитальному  ремонту и строительству новых учреждений, увеличению занятости</w:t>
      </w:r>
      <w:r w:rsidR="00C52519" w:rsidRPr="00D23FB6">
        <w:rPr>
          <w:rFonts w:ascii="Times New Roman" w:hAnsi="Times New Roman" w:cs="Times New Roman"/>
          <w:sz w:val="28"/>
          <w:szCs w:val="28"/>
        </w:rPr>
        <w:t>.</w:t>
      </w:r>
      <w:r w:rsidR="00D23FB6" w:rsidRPr="00D23FB6">
        <w:rPr>
          <w:rFonts w:ascii="Times New Roman" w:hAnsi="Times New Roman" w:cs="Times New Roman"/>
          <w:sz w:val="28"/>
          <w:szCs w:val="28"/>
        </w:rPr>
        <w:t xml:space="preserve"> Дети обучаются в некоторых школах  в две смены, а с учетом тех требований, которые  стоят перед образовательными учреждениями в связи с внедрением президентского проекта «Наша новая школа» дети должны обучаться в одну смену, однако коэффициент детей, обучающихся в первой смене составляет 61,4%. Сегодня недостает более 4 тыс. ученических мест или 4 типовых  школы на 1000 мест.</w:t>
      </w:r>
    </w:p>
    <w:p w:rsidR="00D23FB6" w:rsidRPr="00D23FB6" w:rsidRDefault="00D23FB6" w:rsidP="0060738C">
      <w:pPr>
        <w:spacing w:after="0" w:line="240" w:lineRule="auto"/>
        <w:ind w:firstLine="709"/>
        <w:jc w:val="both"/>
        <w:rPr>
          <w:rFonts w:ascii="Times New Roman" w:hAnsi="Times New Roman" w:cs="Times New Roman"/>
          <w:sz w:val="28"/>
          <w:szCs w:val="28"/>
        </w:rPr>
      </w:pPr>
      <w:r w:rsidRPr="00D23FB6">
        <w:rPr>
          <w:rFonts w:ascii="Times New Roman" w:hAnsi="Times New Roman" w:cs="Times New Roman"/>
          <w:sz w:val="28"/>
          <w:szCs w:val="28"/>
        </w:rPr>
        <w:t xml:space="preserve">На сегодняшний день существует проблема  обеспечения  государственных  гарантий доступности дошкольного образования из-за нехватки мест в детских садах. </w:t>
      </w:r>
    </w:p>
    <w:p w:rsidR="00D23FB6" w:rsidRPr="00D23FB6" w:rsidRDefault="00D23FB6" w:rsidP="0060738C">
      <w:pPr>
        <w:spacing w:after="0" w:line="240" w:lineRule="auto"/>
        <w:ind w:firstLine="709"/>
        <w:jc w:val="both"/>
        <w:rPr>
          <w:rFonts w:ascii="Times New Roman" w:hAnsi="Times New Roman" w:cs="Times New Roman"/>
          <w:sz w:val="28"/>
          <w:szCs w:val="28"/>
        </w:rPr>
      </w:pPr>
      <w:r w:rsidRPr="00D23FB6">
        <w:rPr>
          <w:rFonts w:ascii="Times New Roman" w:hAnsi="Times New Roman" w:cs="Times New Roman"/>
          <w:sz w:val="28"/>
          <w:szCs w:val="28"/>
        </w:rPr>
        <w:t>Общая вместимость ДДУ –3408 мест, фактически посещают – 4749 детей.</w:t>
      </w:r>
    </w:p>
    <w:p w:rsidR="00D23FB6" w:rsidRPr="00D23FB6" w:rsidRDefault="00D23FB6" w:rsidP="0060738C">
      <w:pPr>
        <w:spacing w:after="0" w:line="240" w:lineRule="auto"/>
        <w:ind w:firstLine="709"/>
        <w:jc w:val="both"/>
        <w:rPr>
          <w:rFonts w:ascii="Times New Roman" w:hAnsi="Times New Roman" w:cs="Times New Roman"/>
          <w:sz w:val="28"/>
          <w:szCs w:val="28"/>
        </w:rPr>
      </w:pPr>
      <w:r w:rsidRPr="00D23FB6">
        <w:rPr>
          <w:rFonts w:ascii="Times New Roman" w:hAnsi="Times New Roman" w:cs="Times New Roman"/>
          <w:sz w:val="28"/>
          <w:szCs w:val="28"/>
        </w:rPr>
        <w:t>Сегодня очередь во всех детских дошкольных учреждениях составляет более 4070 человек.</w:t>
      </w:r>
    </w:p>
    <w:p w:rsidR="00D23FB6" w:rsidRPr="00D23FB6" w:rsidRDefault="00D23FB6" w:rsidP="0060738C">
      <w:pPr>
        <w:spacing w:after="0" w:line="240" w:lineRule="auto"/>
        <w:ind w:firstLine="709"/>
        <w:jc w:val="both"/>
        <w:rPr>
          <w:rFonts w:ascii="Times New Roman" w:hAnsi="Times New Roman" w:cs="Times New Roman"/>
          <w:sz w:val="28"/>
          <w:szCs w:val="28"/>
        </w:rPr>
      </w:pPr>
      <w:r w:rsidRPr="00D23FB6">
        <w:rPr>
          <w:rFonts w:ascii="Times New Roman" w:hAnsi="Times New Roman" w:cs="Times New Roman"/>
          <w:sz w:val="28"/>
          <w:szCs w:val="28"/>
        </w:rPr>
        <w:t>Кроме  того, имеющиеся из 20 ДДУ - 11 детских садов построены в 60-70 годы и подлежат реконструкции и капитальному ремонту.</w:t>
      </w:r>
    </w:p>
    <w:p w:rsidR="00D23FB6" w:rsidRPr="00D23FB6" w:rsidRDefault="00D23FB6" w:rsidP="0060738C">
      <w:pPr>
        <w:spacing w:after="0" w:line="240" w:lineRule="auto"/>
        <w:ind w:firstLine="709"/>
        <w:jc w:val="both"/>
        <w:rPr>
          <w:rFonts w:ascii="Times New Roman" w:hAnsi="Times New Roman" w:cs="Times New Roman"/>
          <w:color w:val="000000"/>
          <w:sz w:val="28"/>
          <w:szCs w:val="28"/>
          <w:shd w:val="clear" w:color="auto" w:fill="FFFFFF"/>
        </w:rPr>
      </w:pPr>
      <w:r w:rsidRPr="00D23FB6">
        <w:rPr>
          <w:rFonts w:ascii="Times New Roman" w:hAnsi="Times New Roman" w:cs="Times New Roman"/>
          <w:color w:val="000000"/>
          <w:sz w:val="28"/>
          <w:szCs w:val="28"/>
          <w:shd w:val="clear" w:color="auto" w:fill="FFFFFF"/>
        </w:rPr>
        <w:t xml:space="preserve">Строительство  детских  садов является важнейшей социальной программой. Выполняя майские указы Президента РФ государство </w:t>
      </w:r>
      <w:r w:rsidRPr="00D23FB6">
        <w:rPr>
          <w:rFonts w:ascii="Times New Roman" w:hAnsi="Times New Roman" w:cs="Times New Roman"/>
          <w:color w:val="000000"/>
          <w:sz w:val="28"/>
          <w:szCs w:val="28"/>
          <w:shd w:val="clear" w:color="auto" w:fill="FFFFFF"/>
        </w:rPr>
        <w:lastRenderedPageBreak/>
        <w:t>планирует  завершить ее  к 2016 году, когда проблема очередей в детсады должна быть решена.</w:t>
      </w:r>
    </w:p>
    <w:p w:rsidR="00D23FB6" w:rsidRPr="00D23FB6" w:rsidRDefault="00D23FB6" w:rsidP="0060738C">
      <w:pPr>
        <w:spacing w:after="0" w:line="240" w:lineRule="auto"/>
        <w:ind w:firstLine="709"/>
        <w:jc w:val="both"/>
        <w:rPr>
          <w:rFonts w:ascii="Times New Roman" w:hAnsi="Times New Roman" w:cs="Times New Roman"/>
          <w:color w:val="000000"/>
          <w:sz w:val="28"/>
          <w:szCs w:val="28"/>
          <w:shd w:val="clear" w:color="auto" w:fill="FFFFFF"/>
        </w:rPr>
      </w:pPr>
      <w:r w:rsidRPr="00D23FB6">
        <w:rPr>
          <w:rFonts w:ascii="Times New Roman" w:hAnsi="Times New Roman" w:cs="Times New Roman"/>
          <w:color w:val="000000"/>
          <w:sz w:val="28"/>
          <w:szCs w:val="28"/>
          <w:shd w:val="clear" w:color="auto" w:fill="FFFFFF"/>
        </w:rPr>
        <w:t>Премьер-министр РФ Дмитрий Медведев на селекторном совещании по проблемам дошкольного образования обратил внимание регионов и, конечно муниципалитетов, что будущая текущая очередь должна закрываться за счет внутренних источников.</w:t>
      </w:r>
      <w:r w:rsidRPr="00D23FB6">
        <w:rPr>
          <w:rFonts w:ascii="Times New Roman" w:hAnsi="Times New Roman" w:cs="Times New Roman"/>
          <w:sz w:val="28"/>
          <w:szCs w:val="28"/>
        </w:rPr>
        <w:t xml:space="preserve"> В связи с тем, что бюджет города не располагает достаточными средствами для строительства новых детских садов,   необходимо  развивать новые формы дошкольного образования, группы различных направлений деятельности с детьми, частные дошкольные учреждения. </w:t>
      </w:r>
    </w:p>
    <w:p w:rsidR="00D23FB6" w:rsidRPr="00D23FB6" w:rsidRDefault="00D23FB6" w:rsidP="0060738C">
      <w:pPr>
        <w:spacing w:after="0" w:line="240" w:lineRule="auto"/>
        <w:ind w:firstLine="709"/>
        <w:jc w:val="both"/>
        <w:rPr>
          <w:rFonts w:ascii="Times New Roman" w:hAnsi="Times New Roman" w:cs="Times New Roman"/>
          <w:bCs/>
          <w:spacing w:val="10"/>
          <w:sz w:val="28"/>
          <w:szCs w:val="28"/>
        </w:rPr>
      </w:pPr>
      <w:r w:rsidRPr="00D23FB6">
        <w:rPr>
          <w:rFonts w:ascii="Times New Roman" w:hAnsi="Times New Roman" w:cs="Times New Roman"/>
          <w:sz w:val="28"/>
          <w:szCs w:val="28"/>
        </w:rPr>
        <w:t xml:space="preserve">Главной составляющей развития человеческого потенциала является здоровье. </w:t>
      </w:r>
      <w:r w:rsidRPr="00D23FB6">
        <w:rPr>
          <w:rStyle w:val="FontStyle11"/>
          <w:b w:val="0"/>
          <w:sz w:val="28"/>
          <w:szCs w:val="28"/>
        </w:rPr>
        <w:t>Число коек в республиканских учреждениях здравоохранения города-544, обеспеченность койками на 10 тыс. населения составляет 52,7 %.</w:t>
      </w:r>
    </w:p>
    <w:p w:rsidR="00D23FB6" w:rsidRPr="00D23FB6" w:rsidRDefault="00D23FB6" w:rsidP="0060738C">
      <w:pPr>
        <w:pStyle w:val="a5"/>
        <w:ind w:firstLine="709"/>
        <w:jc w:val="both"/>
        <w:rPr>
          <w:rFonts w:ascii="Times New Roman" w:hAnsi="Times New Roman" w:cs="Times New Roman"/>
          <w:sz w:val="28"/>
          <w:szCs w:val="28"/>
        </w:rPr>
      </w:pPr>
      <w:r w:rsidRPr="00D23FB6">
        <w:rPr>
          <w:rStyle w:val="FontStyle11"/>
          <w:b w:val="0"/>
          <w:bCs w:val="0"/>
          <w:spacing w:val="0"/>
          <w:sz w:val="28"/>
          <w:szCs w:val="28"/>
        </w:rPr>
        <w:t>Остро стоит вопрос нехватки больничных коек. Обеспеченность больничными койками к нормативу в городе составляет 39 %</w:t>
      </w:r>
      <w:r w:rsidR="00E02641">
        <w:rPr>
          <w:rStyle w:val="FontStyle11"/>
          <w:b w:val="0"/>
          <w:bCs w:val="0"/>
          <w:spacing w:val="0"/>
          <w:sz w:val="28"/>
          <w:szCs w:val="28"/>
        </w:rPr>
        <w:t>.</w:t>
      </w:r>
      <w:r w:rsidRPr="00D23FB6">
        <w:rPr>
          <w:rStyle w:val="FontStyle11"/>
          <w:b w:val="0"/>
          <w:bCs w:val="0"/>
          <w:spacing w:val="0"/>
          <w:sz w:val="28"/>
          <w:szCs w:val="28"/>
        </w:rPr>
        <w:t xml:space="preserve"> </w:t>
      </w:r>
      <w:r w:rsidR="00E02641">
        <w:rPr>
          <w:rStyle w:val="FontStyle11"/>
          <w:b w:val="0"/>
          <w:bCs w:val="0"/>
          <w:spacing w:val="0"/>
          <w:sz w:val="28"/>
          <w:szCs w:val="28"/>
        </w:rPr>
        <w:t>Н</w:t>
      </w:r>
      <w:r w:rsidRPr="00D23FB6">
        <w:rPr>
          <w:rStyle w:val="FontStyle11"/>
          <w:b w:val="0"/>
          <w:bCs w:val="0"/>
          <w:spacing w:val="0"/>
          <w:sz w:val="28"/>
          <w:szCs w:val="28"/>
        </w:rPr>
        <w:t>а строительство лечебно-терапевтического корпуса больницы на 120 койко-мест, которое было начато несколько лет назад, в 2012 из запланированных 6,0 млн. руб</w:t>
      </w:r>
      <w:r w:rsidR="00E02641">
        <w:rPr>
          <w:rStyle w:val="FontStyle11"/>
          <w:b w:val="0"/>
          <w:bCs w:val="0"/>
          <w:spacing w:val="0"/>
          <w:sz w:val="28"/>
          <w:szCs w:val="28"/>
        </w:rPr>
        <w:t>,</w:t>
      </w:r>
      <w:r w:rsidRPr="00D23FB6">
        <w:rPr>
          <w:rStyle w:val="FontStyle11"/>
          <w:b w:val="0"/>
          <w:bCs w:val="0"/>
          <w:spacing w:val="0"/>
          <w:sz w:val="28"/>
          <w:szCs w:val="28"/>
        </w:rPr>
        <w:t xml:space="preserve"> освоено только 1,8 млн. рублей</w:t>
      </w:r>
      <w:r w:rsidR="00AB46BB">
        <w:rPr>
          <w:rStyle w:val="FontStyle11"/>
          <w:b w:val="0"/>
          <w:bCs w:val="0"/>
          <w:spacing w:val="0"/>
          <w:sz w:val="28"/>
          <w:szCs w:val="28"/>
        </w:rPr>
        <w:t xml:space="preserve">, </w:t>
      </w:r>
      <w:r w:rsidRPr="00D23FB6">
        <w:rPr>
          <w:rStyle w:val="FontStyle11"/>
          <w:b w:val="0"/>
          <w:bCs w:val="0"/>
          <w:spacing w:val="0"/>
          <w:sz w:val="28"/>
          <w:szCs w:val="28"/>
        </w:rPr>
        <w:t xml:space="preserve"> на строительство корпуса в 2013 году предусмотрено только 15,6 млн. рублей.</w:t>
      </w:r>
      <w:r w:rsidRPr="00D23FB6">
        <w:rPr>
          <w:rFonts w:ascii="Times New Roman" w:hAnsi="Times New Roman" w:cs="Times New Roman"/>
          <w:sz w:val="28"/>
          <w:szCs w:val="28"/>
        </w:rPr>
        <w:t xml:space="preserve"> </w:t>
      </w:r>
    </w:p>
    <w:p w:rsidR="007D78B8" w:rsidRPr="00B300EE" w:rsidRDefault="00AB46BB" w:rsidP="006073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C52519" w:rsidRPr="00B300EE">
        <w:rPr>
          <w:rFonts w:ascii="Times New Roman" w:hAnsi="Times New Roman" w:cs="Times New Roman"/>
          <w:b/>
          <w:sz w:val="28"/>
          <w:szCs w:val="28"/>
        </w:rPr>
        <w:t>.</w:t>
      </w:r>
      <w:r w:rsidR="00D23FB6">
        <w:rPr>
          <w:rFonts w:ascii="Times New Roman" w:hAnsi="Times New Roman" w:cs="Times New Roman"/>
          <w:sz w:val="28"/>
          <w:szCs w:val="28"/>
        </w:rPr>
        <w:t xml:space="preserve"> </w:t>
      </w:r>
      <w:r w:rsidR="002E2479">
        <w:rPr>
          <w:rFonts w:ascii="Times New Roman" w:hAnsi="Times New Roman" w:cs="Times New Roman"/>
          <w:sz w:val="28"/>
          <w:szCs w:val="28"/>
        </w:rPr>
        <w:t>По оценке в 2013</w:t>
      </w:r>
      <w:r w:rsidR="007D78B8" w:rsidRPr="00B300EE">
        <w:rPr>
          <w:rFonts w:ascii="Times New Roman" w:hAnsi="Times New Roman" w:cs="Times New Roman"/>
          <w:sz w:val="28"/>
          <w:szCs w:val="28"/>
        </w:rPr>
        <w:t xml:space="preserve"> году на территории города осуществляют свою деятельность </w:t>
      </w:r>
      <w:r w:rsidR="002E2479">
        <w:rPr>
          <w:rFonts w:ascii="Times New Roman" w:hAnsi="Times New Roman" w:cs="Times New Roman"/>
          <w:sz w:val="28"/>
          <w:szCs w:val="28"/>
        </w:rPr>
        <w:t>917</w:t>
      </w:r>
      <w:r w:rsidR="007D78B8" w:rsidRPr="00B300EE">
        <w:rPr>
          <w:rFonts w:ascii="Times New Roman" w:hAnsi="Times New Roman" w:cs="Times New Roman"/>
          <w:sz w:val="28"/>
          <w:szCs w:val="28"/>
        </w:rPr>
        <w:t xml:space="preserve">  предприятий малого бизнеса</w:t>
      </w:r>
      <w:r w:rsidR="002E2479">
        <w:rPr>
          <w:rFonts w:ascii="Times New Roman" w:hAnsi="Times New Roman" w:cs="Times New Roman"/>
          <w:sz w:val="28"/>
          <w:szCs w:val="28"/>
        </w:rPr>
        <w:t>, из них действующих - 563</w:t>
      </w:r>
      <w:r w:rsidR="007D78B8" w:rsidRPr="00B300EE">
        <w:rPr>
          <w:rFonts w:ascii="Times New Roman" w:hAnsi="Times New Roman" w:cs="Times New Roman"/>
          <w:sz w:val="28"/>
          <w:szCs w:val="28"/>
        </w:rPr>
        <w:t>. Среднесписочная численность работников на предприятиях</w:t>
      </w:r>
      <w:r w:rsidR="002E2479">
        <w:rPr>
          <w:rFonts w:ascii="Times New Roman" w:hAnsi="Times New Roman" w:cs="Times New Roman"/>
          <w:sz w:val="28"/>
          <w:szCs w:val="28"/>
        </w:rPr>
        <w:t xml:space="preserve"> малого бизнеса - 3549</w:t>
      </w:r>
      <w:r w:rsidR="007D78B8" w:rsidRPr="00B300EE">
        <w:rPr>
          <w:rFonts w:ascii="Times New Roman" w:hAnsi="Times New Roman" w:cs="Times New Roman"/>
          <w:sz w:val="28"/>
          <w:szCs w:val="28"/>
        </w:rPr>
        <w:t xml:space="preserve"> челов</w:t>
      </w:r>
      <w:r w:rsidR="002E2479">
        <w:rPr>
          <w:rFonts w:ascii="Times New Roman" w:hAnsi="Times New Roman" w:cs="Times New Roman"/>
          <w:sz w:val="28"/>
          <w:szCs w:val="28"/>
        </w:rPr>
        <w:t>ек. В 2013</w:t>
      </w:r>
      <w:r w:rsidR="007D78B8" w:rsidRPr="00B300EE">
        <w:rPr>
          <w:rFonts w:ascii="Times New Roman" w:hAnsi="Times New Roman" w:cs="Times New Roman"/>
          <w:sz w:val="28"/>
          <w:szCs w:val="28"/>
        </w:rPr>
        <w:t xml:space="preserve"> году количество зарегистрированных индивидуальных предпринимателей оценивается  </w:t>
      </w:r>
      <w:r w:rsidR="002E2479">
        <w:rPr>
          <w:rFonts w:ascii="Times New Roman" w:hAnsi="Times New Roman" w:cs="Times New Roman"/>
          <w:sz w:val="28"/>
          <w:szCs w:val="28"/>
        </w:rPr>
        <w:t>1988</w:t>
      </w:r>
      <w:r w:rsidR="007D78B8" w:rsidRPr="00B300EE">
        <w:rPr>
          <w:rFonts w:ascii="Times New Roman" w:hAnsi="Times New Roman" w:cs="Times New Roman"/>
          <w:sz w:val="28"/>
          <w:szCs w:val="28"/>
        </w:rPr>
        <w:t xml:space="preserve"> ч</w:t>
      </w:r>
      <w:r w:rsidR="002E2479">
        <w:rPr>
          <w:rFonts w:ascii="Times New Roman" w:hAnsi="Times New Roman" w:cs="Times New Roman"/>
          <w:sz w:val="28"/>
          <w:szCs w:val="28"/>
        </w:rPr>
        <w:t>еловек, из них действующих -954</w:t>
      </w:r>
      <w:r w:rsidR="007D78B8" w:rsidRPr="00B300EE">
        <w:rPr>
          <w:rFonts w:ascii="Times New Roman" w:hAnsi="Times New Roman" w:cs="Times New Roman"/>
          <w:sz w:val="28"/>
          <w:szCs w:val="28"/>
        </w:rPr>
        <w:t xml:space="preserve"> человек.  </w:t>
      </w:r>
    </w:p>
    <w:p w:rsidR="007D78B8" w:rsidRPr="00B300EE" w:rsidRDefault="0060738C" w:rsidP="0060738C">
      <w:pPr>
        <w:pStyle w:val="2"/>
        <w:ind w:firstLine="709"/>
        <w:rPr>
          <w:rFonts w:ascii="Times New Roman" w:hAnsi="Times New Roman"/>
          <w:sz w:val="28"/>
          <w:szCs w:val="28"/>
        </w:rPr>
      </w:pPr>
      <w:r>
        <w:rPr>
          <w:rFonts w:ascii="Times New Roman" w:hAnsi="Times New Roman"/>
          <w:sz w:val="28"/>
          <w:szCs w:val="28"/>
        </w:rPr>
        <w:t xml:space="preserve"> </w:t>
      </w:r>
      <w:r w:rsidR="007D78B8" w:rsidRPr="00B300EE">
        <w:rPr>
          <w:rFonts w:ascii="Times New Roman" w:hAnsi="Times New Roman"/>
          <w:sz w:val="28"/>
          <w:szCs w:val="28"/>
        </w:rPr>
        <w:t>Наиболее популярными для м</w:t>
      </w:r>
      <w:r w:rsidR="002E2479">
        <w:rPr>
          <w:rFonts w:ascii="Times New Roman" w:hAnsi="Times New Roman"/>
          <w:sz w:val="28"/>
          <w:szCs w:val="28"/>
        </w:rPr>
        <w:t>алых предприятий остаются в 2013</w:t>
      </w:r>
      <w:r w:rsidR="007D78B8" w:rsidRPr="00B300EE">
        <w:rPr>
          <w:rFonts w:ascii="Times New Roman" w:hAnsi="Times New Roman"/>
          <w:sz w:val="28"/>
          <w:szCs w:val="28"/>
        </w:rPr>
        <w:t xml:space="preserve"> году такие виды экономической деятельности как промышленность, строительство, оптовая, розничная торговля, общепит, коммунальное хозяйство. На тысячу </w:t>
      </w:r>
      <w:r w:rsidR="002E2479">
        <w:rPr>
          <w:rFonts w:ascii="Times New Roman" w:hAnsi="Times New Roman"/>
          <w:sz w:val="28"/>
          <w:szCs w:val="28"/>
        </w:rPr>
        <w:t xml:space="preserve">человек  населения города в 2013 году  приходится 5,5 </w:t>
      </w:r>
      <w:r w:rsidR="007D78B8" w:rsidRPr="00B300EE">
        <w:rPr>
          <w:rFonts w:ascii="Times New Roman" w:hAnsi="Times New Roman"/>
          <w:sz w:val="28"/>
          <w:szCs w:val="28"/>
        </w:rPr>
        <w:t>малых предприятий.</w:t>
      </w:r>
    </w:p>
    <w:p w:rsidR="002E2479" w:rsidRDefault="007D78B8" w:rsidP="0060738C">
      <w:pPr>
        <w:spacing w:after="0" w:line="240" w:lineRule="auto"/>
        <w:ind w:firstLine="709"/>
        <w:jc w:val="both"/>
        <w:rPr>
          <w:rFonts w:ascii="Times New Roman" w:hAnsi="Times New Roman" w:cs="Times New Roman"/>
          <w:b/>
          <w:sz w:val="28"/>
          <w:szCs w:val="28"/>
        </w:rPr>
      </w:pPr>
      <w:r w:rsidRPr="00B300EE">
        <w:rPr>
          <w:rFonts w:ascii="Times New Roman" w:hAnsi="Times New Roman" w:cs="Times New Roman"/>
          <w:sz w:val="28"/>
          <w:szCs w:val="28"/>
        </w:rPr>
        <w:t>В целях формирования благоприятной экономической среды, стимулирующей создание и устойчивое развития предпринимательства; создания системы подготовки кадров, повышения уровня профессионального мастерства; формирования благоприятного общественного мнения о малом предпринимательстве; расширении деловых связей через выставочную и рекламную деятельность Решением собрания депу</w:t>
      </w:r>
      <w:r w:rsidR="002E2479">
        <w:rPr>
          <w:rFonts w:ascii="Times New Roman" w:hAnsi="Times New Roman" w:cs="Times New Roman"/>
          <w:sz w:val="28"/>
          <w:szCs w:val="28"/>
        </w:rPr>
        <w:t>татов ГО «город Каспийск» в 2012</w:t>
      </w:r>
      <w:r w:rsidRPr="00B300EE">
        <w:rPr>
          <w:rFonts w:ascii="Times New Roman" w:hAnsi="Times New Roman" w:cs="Times New Roman"/>
          <w:sz w:val="28"/>
          <w:szCs w:val="28"/>
        </w:rPr>
        <w:t xml:space="preserve"> году принята  Программа развития и поддержки малого и среднего предпринима</w:t>
      </w:r>
      <w:r w:rsidR="002E2479">
        <w:rPr>
          <w:rFonts w:ascii="Times New Roman" w:hAnsi="Times New Roman" w:cs="Times New Roman"/>
          <w:sz w:val="28"/>
          <w:szCs w:val="28"/>
        </w:rPr>
        <w:t>тельства города Каспийск на 2013-2015</w:t>
      </w:r>
      <w:r w:rsidRPr="00B300EE">
        <w:rPr>
          <w:rFonts w:ascii="Times New Roman" w:hAnsi="Times New Roman" w:cs="Times New Roman"/>
          <w:sz w:val="28"/>
          <w:szCs w:val="28"/>
        </w:rPr>
        <w:t xml:space="preserve"> годы. На реализацию программных  мероприятий  из бюджета городского округа «город </w:t>
      </w:r>
      <w:r w:rsidR="002E2479">
        <w:rPr>
          <w:rFonts w:ascii="Times New Roman" w:hAnsi="Times New Roman" w:cs="Times New Roman"/>
          <w:sz w:val="28"/>
          <w:szCs w:val="28"/>
        </w:rPr>
        <w:t>Каспийск» в 2013</w:t>
      </w:r>
      <w:r w:rsidRPr="00B300EE">
        <w:rPr>
          <w:rFonts w:ascii="Times New Roman" w:hAnsi="Times New Roman" w:cs="Times New Roman"/>
          <w:sz w:val="28"/>
          <w:szCs w:val="28"/>
        </w:rPr>
        <w:t xml:space="preserve"> год</w:t>
      </w:r>
      <w:r w:rsidR="002E2479">
        <w:rPr>
          <w:rFonts w:ascii="Times New Roman" w:hAnsi="Times New Roman" w:cs="Times New Roman"/>
          <w:sz w:val="28"/>
          <w:szCs w:val="28"/>
        </w:rPr>
        <w:t>у выделены средства в размере 5</w:t>
      </w:r>
      <w:r w:rsidRPr="00B300EE">
        <w:rPr>
          <w:rFonts w:ascii="Times New Roman" w:hAnsi="Times New Roman" w:cs="Times New Roman"/>
          <w:sz w:val="28"/>
          <w:szCs w:val="28"/>
        </w:rPr>
        <w:t>00,0 тыс. руб.</w:t>
      </w:r>
      <w:r w:rsidRPr="00B300EE">
        <w:rPr>
          <w:rFonts w:ascii="Times New Roman" w:hAnsi="Times New Roman" w:cs="Times New Roman"/>
          <w:b/>
          <w:sz w:val="28"/>
          <w:szCs w:val="28"/>
        </w:rPr>
        <w:t xml:space="preserve"> </w:t>
      </w:r>
    </w:p>
    <w:p w:rsidR="00AB46BB" w:rsidRDefault="007D78B8" w:rsidP="0060738C">
      <w:pPr>
        <w:pStyle w:val="a5"/>
        <w:ind w:firstLine="709"/>
        <w:jc w:val="both"/>
        <w:rPr>
          <w:rFonts w:ascii="Times New Roman" w:hAnsi="Times New Roman" w:cs="Times New Roman"/>
          <w:sz w:val="28"/>
          <w:szCs w:val="28"/>
        </w:rPr>
      </w:pPr>
      <w:r w:rsidRPr="00B300EE">
        <w:rPr>
          <w:rFonts w:ascii="Times New Roman" w:hAnsi="Times New Roman" w:cs="Times New Roman"/>
          <w:sz w:val="28"/>
          <w:szCs w:val="28"/>
        </w:rPr>
        <w:tab/>
        <w:t xml:space="preserve"> Прогнозируя основные показатели деятельности малых п</w:t>
      </w:r>
      <w:r w:rsidR="002E2479">
        <w:rPr>
          <w:rFonts w:ascii="Times New Roman" w:hAnsi="Times New Roman" w:cs="Times New Roman"/>
          <w:sz w:val="28"/>
          <w:szCs w:val="28"/>
        </w:rPr>
        <w:t>редприятий города на период 2014-2016</w:t>
      </w:r>
      <w:r w:rsidRPr="00B300EE">
        <w:rPr>
          <w:rFonts w:ascii="Times New Roman" w:hAnsi="Times New Roman" w:cs="Times New Roman"/>
          <w:sz w:val="28"/>
          <w:szCs w:val="28"/>
        </w:rPr>
        <w:t xml:space="preserve"> годы, можно сказать, что малое предпринимательство будет развиваться устойчиво с тенденцией стабильного роста основных показателей экономического развития</w:t>
      </w:r>
      <w:r w:rsidR="00236469" w:rsidRPr="00B300EE">
        <w:rPr>
          <w:rFonts w:ascii="Times New Roman" w:hAnsi="Times New Roman" w:cs="Times New Roman"/>
          <w:sz w:val="28"/>
          <w:szCs w:val="28"/>
        </w:rPr>
        <w:t>.</w:t>
      </w:r>
      <w:r w:rsidR="00C52519" w:rsidRPr="00B300EE">
        <w:rPr>
          <w:rFonts w:ascii="Times New Roman" w:hAnsi="Times New Roman" w:cs="Times New Roman"/>
          <w:sz w:val="28"/>
          <w:szCs w:val="28"/>
        </w:rPr>
        <w:tab/>
      </w:r>
    </w:p>
    <w:p w:rsidR="00C52519" w:rsidRPr="00AB46BB" w:rsidRDefault="00AB46BB" w:rsidP="0060738C">
      <w:pPr>
        <w:pStyle w:val="a5"/>
        <w:ind w:firstLine="709"/>
        <w:jc w:val="both"/>
        <w:rPr>
          <w:rFonts w:ascii="Times New Roman" w:hAnsi="Times New Roman" w:cs="Times New Roman"/>
          <w:b/>
          <w:sz w:val="28"/>
          <w:szCs w:val="28"/>
        </w:rPr>
      </w:pPr>
      <w:r w:rsidRPr="00AB46BB">
        <w:rPr>
          <w:rStyle w:val="FontStyle11"/>
          <w:b w:val="0"/>
          <w:sz w:val="28"/>
          <w:szCs w:val="28"/>
        </w:rPr>
        <w:lastRenderedPageBreak/>
        <w:t>В</w:t>
      </w:r>
      <w:r>
        <w:rPr>
          <w:rStyle w:val="FontStyle11"/>
          <w:b w:val="0"/>
          <w:sz w:val="28"/>
          <w:szCs w:val="28"/>
        </w:rPr>
        <w:t xml:space="preserve"> </w:t>
      </w:r>
      <w:r w:rsidRPr="00AB46BB">
        <w:rPr>
          <w:rStyle w:val="FontStyle11"/>
          <w:b w:val="0"/>
          <w:sz w:val="28"/>
          <w:szCs w:val="28"/>
        </w:rPr>
        <w:t xml:space="preserve"> настоящее время</w:t>
      </w:r>
      <w:r>
        <w:rPr>
          <w:rStyle w:val="FontStyle11"/>
          <w:b w:val="0"/>
          <w:sz w:val="28"/>
          <w:szCs w:val="28"/>
        </w:rPr>
        <w:t>,</w:t>
      </w:r>
      <w:r w:rsidRPr="00AB46BB">
        <w:rPr>
          <w:rStyle w:val="FontStyle11"/>
          <w:b w:val="0"/>
          <w:sz w:val="28"/>
          <w:szCs w:val="28"/>
        </w:rPr>
        <w:t xml:space="preserve"> из-за роста страховых платежей с 1.01.2013 года</w:t>
      </w:r>
      <w:r>
        <w:rPr>
          <w:rStyle w:val="FontStyle11"/>
          <w:b w:val="0"/>
          <w:sz w:val="28"/>
          <w:szCs w:val="28"/>
        </w:rPr>
        <w:t>,</w:t>
      </w:r>
      <w:r w:rsidRPr="00AB46BB">
        <w:rPr>
          <w:rStyle w:val="FontStyle11"/>
          <w:b w:val="0"/>
          <w:sz w:val="28"/>
          <w:szCs w:val="28"/>
        </w:rPr>
        <w:t xml:space="preserve"> наблюдается снижение количества субъектов малого предпринимательства.</w:t>
      </w:r>
    </w:p>
    <w:p w:rsidR="00C52519" w:rsidRPr="00B300EE" w:rsidRDefault="00AB46BB" w:rsidP="0060738C">
      <w:pPr>
        <w:pStyle w:val="2"/>
        <w:ind w:firstLine="709"/>
        <w:rPr>
          <w:rFonts w:ascii="Times New Roman" w:hAnsi="Times New Roman"/>
          <w:sz w:val="28"/>
          <w:szCs w:val="28"/>
        </w:rPr>
      </w:pPr>
      <w:r>
        <w:rPr>
          <w:rFonts w:ascii="Times New Roman" w:hAnsi="Times New Roman"/>
          <w:b/>
          <w:sz w:val="28"/>
          <w:szCs w:val="28"/>
        </w:rPr>
        <w:t>7</w:t>
      </w:r>
      <w:r w:rsidR="00C52519" w:rsidRPr="00B300EE">
        <w:rPr>
          <w:rFonts w:ascii="Times New Roman" w:hAnsi="Times New Roman"/>
          <w:b/>
          <w:sz w:val="28"/>
          <w:szCs w:val="28"/>
        </w:rPr>
        <w:t>.</w:t>
      </w:r>
      <w:r>
        <w:rPr>
          <w:rFonts w:ascii="Times New Roman" w:hAnsi="Times New Roman"/>
          <w:b/>
          <w:sz w:val="28"/>
          <w:szCs w:val="28"/>
        </w:rPr>
        <w:t xml:space="preserve"> </w:t>
      </w:r>
      <w:r w:rsidR="00C52519" w:rsidRPr="00B300EE">
        <w:rPr>
          <w:rFonts w:ascii="Times New Roman" w:hAnsi="Times New Roman"/>
          <w:sz w:val="28"/>
          <w:szCs w:val="28"/>
        </w:rPr>
        <w:t>Прогнозируемые демографические процессы в городе характеризуются стабилизацией    численности населения. Демографическая динамика города будет в основном формироваться за счет естественного прироста  и миграции населения.</w:t>
      </w:r>
    </w:p>
    <w:p w:rsidR="00236469" w:rsidRPr="00B300EE" w:rsidRDefault="00C52519" w:rsidP="0060738C">
      <w:pPr>
        <w:pStyle w:val="a3"/>
        <w:spacing w:after="0"/>
        <w:ind w:left="0" w:firstLine="709"/>
        <w:jc w:val="both"/>
        <w:rPr>
          <w:sz w:val="28"/>
          <w:szCs w:val="28"/>
        </w:rPr>
      </w:pPr>
      <w:r w:rsidRPr="00B300EE">
        <w:rPr>
          <w:sz w:val="28"/>
          <w:szCs w:val="28"/>
        </w:rPr>
        <w:t xml:space="preserve">На весь прогнозируемый период  динамика естественного движения в городе  характеризуется  стабильным  естественным приростом. Принятые Правительством РФ меры по улучшению демографической ситуации в стране (увеличение выплат по рождению детей, пособий по уходу за ребенком, единовременных выплат) положительно повлияли на ситуацию с рождаемостью.   Рождаемость  </w:t>
      </w:r>
      <w:r w:rsidR="002E2479">
        <w:rPr>
          <w:sz w:val="28"/>
          <w:szCs w:val="28"/>
        </w:rPr>
        <w:t>на 1000 человек населения в 2012</w:t>
      </w:r>
      <w:r w:rsidRPr="00B300EE">
        <w:rPr>
          <w:sz w:val="28"/>
          <w:szCs w:val="28"/>
        </w:rPr>
        <w:t xml:space="preserve"> году составила 1</w:t>
      </w:r>
      <w:r w:rsidR="00BD4075" w:rsidRPr="00B300EE">
        <w:rPr>
          <w:sz w:val="28"/>
          <w:szCs w:val="28"/>
        </w:rPr>
        <w:t>5</w:t>
      </w:r>
      <w:r w:rsidR="002E2479">
        <w:rPr>
          <w:sz w:val="28"/>
          <w:szCs w:val="28"/>
        </w:rPr>
        <w:t>,7</w:t>
      </w:r>
      <w:r w:rsidRPr="00B300EE">
        <w:rPr>
          <w:sz w:val="28"/>
          <w:szCs w:val="28"/>
        </w:rPr>
        <w:t xml:space="preserve">. </w:t>
      </w:r>
    </w:p>
    <w:p w:rsidR="00C52519" w:rsidRPr="00B300EE" w:rsidRDefault="00C52519" w:rsidP="0060738C">
      <w:pPr>
        <w:pStyle w:val="2"/>
        <w:ind w:firstLine="709"/>
        <w:rPr>
          <w:rFonts w:ascii="Times New Roman" w:hAnsi="Times New Roman"/>
          <w:sz w:val="28"/>
          <w:szCs w:val="28"/>
        </w:rPr>
      </w:pPr>
      <w:r w:rsidRPr="00B300EE">
        <w:rPr>
          <w:rFonts w:ascii="Times New Roman" w:hAnsi="Times New Roman"/>
          <w:sz w:val="28"/>
          <w:szCs w:val="28"/>
        </w:rPr>
        <w:t>Демографическая ситуация характеризуется следующими данными:</w:t>
      </w:r>
    </w:p>
    <w:p w:rsidR="002E2479" w:rsidRPr="00B300EE" w:rsidRDefault="00C52519" w:rsidP="00236469">
      <w:pPr>
        <w:pStyle w:val="ConsPlusNormal"/>
        <w:widowControl/>
        <w:ind w:firstLine="0"/>
        <w:jc w:val="both"/>
        <w:rPr>
          <w:rFonts w:ascii="Times New Roman" w:hAnsi="Times New Roman" w:cs="Times New Roman"/>
          <w:b/>
          <w:sz w:val="28"/>
          <w:szCs w:val="28"/>
        </w:rPr>
      </w:pPr>
      <w:r w:rsidRPr="00B300EE">
        <w:rPr>
          <w:rFonts w:ascii="Times New Roman" w:hAnsi="Times New Roman" w:cs="Times New Roman"/>
          <w:b/>
          <w:sz w:val="28"/>
          <w:szCs w:val="28"/>
        </w:rPr>
        <w:t xml:space="preserve"> </w:t>
      </w:r>
    </w:p>
    <w:tbl>
      <w:tblPr>
        <w:tblW w:w="52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954"/>
        <w:gridCol w:w="823"/>
        <w:gridCol w:w="776"/>
        <w:gridCol w:w="776"/>
        <w:gridCol w:w="914"/>
        <w:gridCol w:w="1133"/>
        <w:gridCol w:w="1002"/>
        <w:gridCol w:w="1006"/>
      </w:tblGrid>
      <w:tr w:rsidR="002E2479" w:rsidRPr="00B300EE" w:rsidTr="0060738C">
        <w:trPr>
          <w:cantSplit/>
          <w:trHeight w:val="463"/>
        </w:trPr>
        <w:tc>
          <w:tcPr>
            <w:tcW w:w="1323" w:type="pct"/>
            <w:vMerge w:val="restart"/>
          </w:tcPr>
          <w:p w:rsidR="002E2479" w:rsidRPr="00B300EE" w:rsidRDefault="002E2479" w:rsidP="00C70B2C">
            <w:pPr>
              <w:ind w:right="72"/>
              <w:rPr>
                <w:rFonts w:ascii="Times New Roman" w:hAnsi="Times New Roman" w:cs="Times New Roman"/>
              </w:rPr>
            </w:pPr>
            <w:r w:rsidRPr="00B300EE">
              <w:rPr>
                <w:rFonts w:ascii="Times New Roman" w:hAnsi="Times New Roman" w:cs="Times New Roman"/>
              </w:rPr>
              <w:t>Демографические показатели</w:t>
            </w:r>
          </w:p>
        </w:tc>
        <w:tc>
          <w:tcPr>
            <w:tcW w:w="475" w:type="pct"/>
            <w:vMerge w:val="restart"/>
          </w:tcPr>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Ед. изм.</w:t>
            </w:r>
          </w:p>
        </w:tc>
        <w:tc>
          <w:tcPr>
            <w:tcW w:w="410" w:type="pct"/>
            <w:vMerge w:val="restart"/>
          </w:tcPr>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Отчет</w:t>
            </w:r>
          </w:p>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2010 г</w:t>
            </w:r>
          </w:p>
        </w:tc>
        <w:tc>
          <w:tcPr>
            <w:tcW w:w="386" w:type="pct"/>
            <w:vMerge w:val="restart"/>
          </w:tcPr>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 xml:space="preserve">Отчет </w:t>
            </w:r>
          </w:p>
          <w:p w:rsidR="002E2479" w:rsidRPr="00B300EE" w:rsidRDefault="002E2479" w:rsidP="002E2479">
            <w:pPr>
              <w:jc w:val="center"/>
              <w:rPr>
                <w:rFonts w:ascii="Times New Roman" w:hAnsi="Times New Roman" w:cs="Times New Roman"/>
              </w:rPr>
            </w:pPr>
            <w:r w:rsidRPr="00B300EE">
              <w:rPr>
                <w:rFonts w:ascii="Times New Roman" w:hAnsi="Times New Roman" w:cs="Times New Roman"/>
              </w:rPr>
              <w:t>2011</w:t>
            </w:r>
            <w:r>
              <w:rPr>
                <w:rFonts w:ascii="Times New Roman" w:hAnsi="Times New Roman" w:cs="Times New Roman"/>
              </w:rPr>
              <w:t>г</w:t>
            </w:r>
          </w:p>
        </w:tc>
        <w:tc>
          <w:tcPr>
            <w:tcW w:w="386" w:type="pct"/>
            <w:vMerge w:val="restart"/>
          </w:tcPr>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 xml:space="preserve">Отчет </w:t>
            </w:r>
          </w:p>
          <w:p w:rsidR="002E2479" w:rsidRPr="00B300EE" w:rsidRDefault="002E2479" w:rsidP="00C70B2C">
            <w:pPr>
              <w:jc w:val="center"/>
              <w:rPr>
                <w:rFonts w:ascii="Times New Roman" w:hAnsi="Times New Roman" w:cs="Times New Roman"/>
              </w:rPr>
            </w:pPr>
            <w:r>
              <w:rPr>
                <w:rFonts w:ascii="Times New Roman" w:hAnsi="Times New Roman" w:cs="Times New Roman"/>
              </w:rPr>
              <w:t>2012г</w:t>
            </w:r>
          </w:p>
        </w:tc>
        <w:tc>
          <w:tcPr>
            <w:tcW w:w="455" w:type="pct"/>
            <w:vMerge w:val="restart"/>
          </w:tcPr>
          <w:p w:rsidR="002E2479" w:rsidRPr="00B300EE" w:rsidRDefault="002E2479" w:rsidP="00C70B2C">
            <w:pPr>
              <w:jc w:val="center"/>
              <w:rPr>
                <w:rFonts w:ascii="Times New Roman" w:hAnsi="Times New Roman" w:cs="Times New Roman"/>
              </w:rPr>
            </w:pPr>
            <w:r>
              <w:rPr>
                <w:rFonts w:ascii="Times New Roman" w:hAnsi="Times New Roman" w:cs="Times New Roman"/>
              </w:rPr>
              <w:t xml:space="preserve">Оценка </w:t>
            </w:r>
            <w:r w:rsidRPr="00B300EE">
              <w:rPr>
                <w:rFonts w:ascii="Times New Roman" w:hAnsi="Times New Roman" w:cs="Times New Roman"/>
              </w:rPr>
              <w:t xml:space="preserve"> </w:t>
            </w:r>
          </w:p>
          <w:p w:rsidR="002E2479" w:rsidRPr="00B300EE" w:rsidRDefault="002E2479" w:rsidP="00C70B2C">
            <w:pPr>
              <w:jc w:val="center"/>
              <w:rPr>
                <w:rFonts w:ascii="Times New Roman" w:hAnsi="Times New Roman" w:cs="Times New Roman"/>
              </w:rPr>
            </w:pPr>
            <w:r>
              <w:rPr>
                <w:rFonts w:ascii="Times New Roman" w:hAnsi="Times New Roman" w:cs="Times New Roman"/>
              </w:rPr>
              <w:t>2013г</w:t>
            </w:r>
          </w:p>
        </w:tc>
        <w:tc>
          <w:tcPr>
            <w:tcW w:w="1564" w:type="pct"/>
            <w:gridSpan w:val="3"/>
          </w:tcPr>
          <w:p w:rsidR="002E2479" w:rsidRPr="00B300EE" w:rsidRDefault="002E2479" w:rsidP="00C70B2C">
            <w:pPr>
              <w:jc w:val="center"/>
              <w:rPr>
                <w:rFonts w:ascii="Times New Roman" w:hAnsi="Times New Roman" w:cs="Times New Roman"/>
              </w:rPr>
            </w:pPr>
            <w:r w:rsidRPr="00B300EE">
              <w:rPr>
                <w:rFonts w:ascii="Times New Roman" w:hAnsi="Times New Roman" w:cs="Times New Roman"/>
              </w:rPr>
              <w:t>Прогноз</w:t>
            </w:r>
          </w:p>
        </w:tc>
      </w:tr>
      <w:tr w:rsidR="002E2479" w:rsidRPr="00B300EE" w:rsidTr="0060738C">
        <w:trPr>
          <w:cantSplit/>
          <w:trHeight w:val="291"/>
        </w:trPr>
        <w:tc>
          <w:tcPr>
            <w:tcW w:w="1323" w:type="pct"/>
            <w:vMerge/>
          </w:tcPr>
          <w:p w:rsidR="002E2479" w:rsidRPr="00B300EE" w:rsidRDefault="002E2479" w:rsidP="00C70B2C">
            <w:pPr>
              <w:jc w:val="both"/>
              <w:rPr>
                <w:rFonts w:ascii="Times New Roman" w:hAnsi="Times New Roman" w:cs="Times New Roman"/>
              </w:rPr>
            </w:pPr>
          </w:p>
        </w:tc>
        <w:tc>
          <w:tcPr>
            <w:tcW w:w="475" w:type="pct"/>
            <w:vMerge/>
          </w:tcPr>
          <w:p w:rsidR="002E2479" w:rsidRPr="00B300EE" w:rsidRDefault="002E2479" w:rsidP="00C70B2C">
            <w:pPr>
              <w:jc w:val="both"/>
              <w:rPr>
                <w:rFonts w:ascii="Times New Roman" w:hAnsi="Times New Roman" w:cs="Times New Roman"/>
              </w:rPr>
            </w:pPr>
          </w:p>
        </w:tc>
        <w:tc>
          <w:tcPr>
            <w:tcW w:w="410" w:type="pct"/>
            <w:vMerge/>
          </w:tcPr>
          <w:p w:rsidR="002E2479" w:rsidRPr="00B300EE" w:rsidRDefault="002E2479" w:rsidP="00C70B2C">
            <w:pPr>
              <w:jc w:val="both"/>
              <w:rPr>
                <w:rFonts w:ascii="Times New Roman" w:hAnsi="Times New Roman" w:cs="Times New Roman"/>
              </w:rPr>
            </w:pPr>
          </w:p>
        </w:tc>
        <w:tc>
          <w:tcPr>
            <w:tcW w:w="386" w:type="pct"/>
            <w:vMerge/>
          </w:tcPr>
          <w:p w:rsidR="002E2479" w:rsidRPr="00B300EE" w:rsidRDefault="002E2479" w:rsidP="00C70B2C">
            <w:pPr>
              <w:jc w:val="center"/>
              <w:rPr>
                <w:rFonts w:ascii="Times New Roman" w:hAnsi="Times New Roman" w:cs="Times New Roman"/>
              </w:rPr>
            </w:pPr>
          </w:p>
        </w:tc>
        <w:tc>
          <w:tcPr>
            <w:tcW w:w="386" w:type="pct"/>
            <w:vMerge/>
          </w:tcPr>
          <w:p w:rsidR="002E2479" w:rsidRPr="00B300EE" w:rsidRDefault="002E2479" w:rsidP="00C70B2C">
            <w:pPr>
              <w:jc w:val="center"/>
              <w:rPr>
                <w:rFonts w:ascii="Times New Roman" w:hAnsi="Times New Roman" w:cs="Times New Roman"/>
              </w:rPr>
            </w:pPr>
          </w:p>
        </w:tc>
        <w:tc>
          <w:tcPr>
            <w:tcW w:w="455" w:type="pct"/>
            <w:vMerge/>
          </w:tcPr>
          <w:p w:rsidR="002E2479" w:rsidRPr="00B300EE" w:rsidRDefault="002E2479" w:rsidP="00C70B2C">
            <w:pPr>
              <w:jc w:val="center"/>
              <w:rPr>
                <w:rFonts w:ascii="Times New Roman" w:hAnsi="Times New Roman" w:cs="Times New Roman"/>
              </w:rPr>
            </w:pPr>
          </w:p>
        </w:tc>
        <w:tc>
          <w:tcPr>
            <w:tcW w:w="564" w:type="pct"/>
          </w:tcPr>
          <w:p w:rsidR="002E2479" w:rsidRPr="00B300EE" w:rsidRDefault="002E2479" w:rsidP="002E2479">
            <w:pPr>
              <w:jc w:val="center"/>
              <w:rPr>
                <w:rFonts w:ascii="Times New Roman" w:hAnsi="Times New Roman" w:cs="Times New Roman"/>
              </w:rPr>
            </w:pPr>
            <w:r w:rsidRPr="00B300EE">
              <w:rPr>
                <w:rFonts w:ascii="Times New Roman" w:hAnsi="Times New Roman" w:cs="Times New Roman"/>
              </w:rPr>
              <w:t>201</w:t>
            </w:r>
            <w:r>
              <w:rPr>
                <w:rFonts w:ascii="Times New Roman" w:hAnsi="Times New Roman" w:cs="Times New Roman"/>
              </w:rPr>
              <w:t>4</w:t>
            </w:r>
            <w:r w:rsidRPr="00B300EE">
              <w:rPr>
                <w:rFonts w:ascii="Times New Roman" w:hAnsi="Times New Roman" w:cs="Times New Roman"/>
              </w:rPr>
              <w:t>год</w:t>
            </w:r>
          </w:p>
        </w:tc>
        <w:tc>
          <w:tcPr>
            <w:tcW w:w="499" w:type="pct"/>
          </w:tcPr>
          <w:p w:rsidR="002E2479" w:rsidRPr="00B300EE" w:rsidRDefault="002E2479" w:rsidP="00C70B2C">
            <w:pPr>
              <w:jc w:val="center"/>
              <w:rPr>
                <w:rFonts w:ascii="Times New Roman" w:hAnsi="Times New Roman" w:cs="Times New Roman"/>
              </w:rPr>
            </w:pPr>
            <w:r>
              <w:rPr>
                <w:rFonts w:ascii="Times New Roman" w:hAnsi="Times New Roman" w:cs="Times New Roman"/>
              </w:rPr>
              <w:t>2015</w:t>
            </w:r>
            <w:r w:rsidRPr="00B300EE">
              <w:rPr>
                <w:rFonts w:ascii="Times New Roman" w:hAnsi="Times New Roman" w:cs="Times New Roman"/>
              </w:rPr>
              <w:t>год</w:t>
            </w:r>
          </w:p>
        </w:tc>
        <w:tc>
          <w:tcPr>
            <w:tcW w:w="501" w:type="pct"/>
            <w:tcBorders>
              <w:right w:val="single" w:sz="4" w:space="0" w:color="auto"/>
            </w:tcBorders>
          </w:tcPr>
          <w:p w:rsidR="002E2479" w:rsidRPr="00B300EE" w:rsidRDefault="002E2479" w:rsidP="002E2479">
            <w:pPr>
              <w:jc w:val="center"/>
              <w:rPr>
                <w:rFonts w:ascii="Times New Roman" w:hAnsi="Times New Roman" w:cs="Times New Roman"/>
              </w:rPr>
            </w:pPr>
            <w:r w:rsidRPr="00B300EE">
              <w:rPr>
                <w:rFonts w:ascii="Times New Roman" w:hAnsi="Times New Roman" w:cs="Times New Roman"/>
              </w:rPr>
              <w:t>201</w:t>
            </w:r>
            <w:r>
              <w:rPr>
                <w:rFonts w:ascii="Times New Roman" w:hAnsi="Times New Roman" w:cs="Times New Roman"/>
              </w:rPr>
              <w:t>6</w:t>
            </w:r>
          </w:p>
        </w:tc>
      </w:tr>
      <w:tr w:rsidR="002E2479" w:rsidRPr="00B300EE" w:rsidTr="00594882">
        <w:trPr>
          <w:trHeight w:val="922"/>
        </w:trPr>
        <w:tc>
          <w:tcPr>
            <w:tcW w:w="1323" w:type="pct"/>
          </w:tcPr>
          <w:p w:rsidR="002E2479" w:rsidRPr="00B300EE" w:rsidRDefault="002E2479" w:rsidP="00C70B2C">
            <w:pPr>
              <w:jc w:val="both"/>
              <w:rPr>
                <w:rFonts w:ascii="Times New Roman" w:hAnsi="Times New Roman" w:cs="Times New Roman"/>
              </w:rPr>
            </w:pPr>
            <w:r w:rsidRPr="00B300EE">
              <w:rPr>
                <w:rFonts w:ascii="Times New Roman" w:hAnsi="Times New Roman" w:cs="Times New Roman"/>
              </w:rPr>
              <w:t>1.Среднегодовая численность постоянного населения)</w:t>
            </w:r>
          </w:p>
        </w:tc>
        <w:tc>
          <w:tcPr>
            <w:tcW w:w="475" w:type="pct"/>
          </w:tcPr>
          <w:p w:rsidR="002E2479" w:rsidRPr="00B300EE" w:rsidRDefault="002E2479" w:rsidP="0060738C">
            <w:pPr>
              <w:jc w:val="center"/>
              <w:rPr>
                <w:rFonts w:ascii="Times New Roman" w:hAnsi="Times New Roman" w:cs="Times New Roman"/>
              </w:rPr>
            </w:pPr>
            <w:r w:rsidRPr="00B300EE">
              <w:rPr>
                <w:rFonts w:ascii="Times New Roman" w:hAnsi="Times New Roman" w:cs="Times New Roman"/>
              </w:rPr>
              <w:t>Тыс. чел.</w:t>
            </w:r>
          </w:p>
        </w:tc>
        <w:tc>
          <w:tcPr>
            <w:tcW w:w="410"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100,1</w:t>
            </w:r>
          </w:p>
        </w:tc>
        <w:tc>
          <w:tcPr>
            <w:tcW w:w="386"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101,5</w:t>
            </w:r>
          </w:p>
        </w:tc>
        <w:tc>
          <w:tcPr>
            <w:tcW w:w="386"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103,0</w:t>
            </w:r>
          </w:p>
        </w:tc>
        <w:tc>
          <w:tcPr>
            <w:tcW w:w="455"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104,7</w:t>
            </w:r>
          </w:p>
        </w:tc>
        <w:tc>
          <w:tcPr>
            <w:tcW w:w="564"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106,1</w:t>
            </w:r>
          </w:p>
        </w:tc>
        <w:tc>
          <w:tcPr>
            <w:tcW w:w="499"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107,5</w:t>
            </w:r>
          </w:p>
        </w:tc>
        <w:tc>
          <w:tcPr>
            <w:tcW w:w="501" w:type="pct"/>
          </w:tcPr>
          <w:p w:rsidR="002E2479" w:rsidRPr="00B300EE" w:rsidRDefault="008E3DFF" w:rsidP="00C70B2C">
            <w:pPr>
              <w:jc w:val="center"/>
              <w:rPr>
                <w:rFonts w:ascii="Times New Roman" w:hAnsi="Times New Roman" w:cs="Times New Roman"/>
              </w:rPr>
            </w:pPr>
            <w:r>
              <w:rPr>
                <w:rFonts w:ascii="Times New Roman" w:hAnsi="Times New Roman" w:cs="Times New Roman"/>
              </w:rPr>
              <w:t>108,9</w:t>
            </w:r>
          </w:p>
        </w:tc>
      </w:tr>
      <w:tr w:rsidR="008E3DFF" w:rsidRPr="00B300EE" w:rsidTr="00594882">
        <w:trPr>
          <w:trHeight w:val="257"/>
        </w:trPr>
        <w:tc>
          <w:tcPr>
            <w:tcW w:w="1323" w:type="pct"/>
          </w:tcPr>
          <w:p w:rsidR="008E3DFF" w:rsidRPr="00B300EE" w:rsidRDefault="008E3DFF" w:rsidP="00C70B2C">
            <w:pPr>
              <w:jc w:val="both"/>
              <w:rPr>
                <w:rFonts w:ascii="Times New Roman" w:hAnsi="Times New Roman" w:cs="Times New Roman"/>
              </w:rPr>
            </w:pPr>
            <w:r w:rsidRPr="00B300EE">
              <w:rPr>
                <w:rFonts w:ascii="Times New Roman" w:hAnsi="Times New Roman" w:cs="Times New Roman"/>
              </w:rPr>
              <w:t>2.в % к прошлому году</w:t>
            </w:r>
          </w:p>
        </w:tc>
        <w:tc>
          <w:tcPr>
            <w:tcW w:w="475" w:type="pct"/>
          </w:tcPr>
          <w:p w:rsidR="008E3DFF" w:rsidRPr="00B300EE" w:rsidRDefault="008E3DFF" w:rsidP="008E3DFF">
            <w:pPr>
              <w:rPr>
                <w:rFonts w:ascii="Times New Roman" w:hAnsi="Times New Roman" w:cs="Times New Roman"/>
              </w:rPr>
            </w:pPr>
            <w:r w:rsidRPr="00B300EE">
              <w:rPr>
                <w:rFonts w:ascii="Times New Roman" w:hAnsi="Times New Roman" w:cs="Times New Roman"/>
              </w:rPr>
              <w:t>%</w:t>
            </w:r>
          </w:p>
        </w:tc>
        <w:tc>
          <w:tcPr>
            <w:tcW w:w="410"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119,0</w:t>
            </w:r>
          </w:p>
        </w:tc>
        <w:tc>
          <w:tcPr>
            <w:tcW w:w="386"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101,4</w:t>
            </w:r>
          </w:p>
        </w:tc>
        <w:tc>
          <w:tcPr>
            <w:tcW w:w="386"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101,5</w:t>
            </w:r>
          </w:p>
        </w:tc>
        <w:tc>
          <w:tcPr>
            <w:tcW w:w="455"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101,7</w:t>
            </w:r>
          </w:p>
        </w:tc>
        <w:tc>
          <w:tcPr>
            <w:tcW w:w="564"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101,3</w:t>
            </w:r>
          </w:p>
        </w:tc>
        <w:tc>
          <w:tcPr>
            <w:tcW w:w="499"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101,3</w:t>
            </w:r>
          </w:p>
        </w:tc>
        <w:tc>
          <w:tcPr>
            <w:tcW w:w="501" w:type="pct"/>
          </w:tcPr>
          <w:p w:rsidR="008E3DFF" w:rsidRPr="00B300EE" w:rsidRDefault="008E3DFF" w:rsidP="00C70B2C">
            <w:pPr>
              <w:jc w:val="center"/>
              <w:rPr>
                <w:rFonts w:ascii="Times New Roman" w:hAnsi="Times New Roman" w:cs="Times New Roman"/>
              </w:rPr>
            </w:pPr>
            <w:r>
              <w:rPr>
                <w:rFonts w:ascii="Times New Roman" w:hAnsi="Times New Roman" w:cs="Times New Roman"/>
              </w:rPr>
              <w:t>101,3</w:t>
            </w:r>
          </w:p>
        </w:tc>
      </w:tr>
    </w:tbl>
    <w:p w:rsidR="00BD4075" w:rsidRPr="00B300EE" w:rsidRDefault="00BD4075" w:rsidP="00236469">
      <w:pPr>
        <w:pStyle w:val="ConsPlusNormal"/>
        <w:widowControl/>
        <w:ind w:firstLine="0"/>
        <w:jc w:val="both"/>
        <w:rPr>
          <w:rFonts w:ascii="Times New Roman" w:hAnsi="Times New Roman" w:cs="Times New Roman"/>
          <w:b/>
          <w:sz w:val="28"/>
          <w:szCs w:val="28"/>
        </w:rPr>
      </w:pPr>
    </w:p>
    <w:p w:rsidR="00BD4075" w:rsidRPr="00B300EE" w:rsidRDefault="00AB46BB" w:rsidP="00BD4075">
      <w:pPr>
        <w:pStyle w:val="ConsPlusNormal"/>
        <w:widowControl/>
        <w:ind w:firstLine="567"/>
        <w:jc w:val="both"/>
        <w:rPr>
          <w:rFonts w:ascii="Times New Roman" w:hAnsi="Times New Roman" w:cs="Times New Roman"/>
          <w:sz w:val="28"/>
          <w:szCs w:val="28"/>
        </w:rPr>
      </w:pPr>
      <w:r>
        <w:rPr>
          <w:rFonts w:ascii="Times New Roman" w:hAnsi="Times New Roman" w:cs="Times New Roman"/>
          <w:b/>
          <w:sz w:val="28"/>
          <w:szCs w:val="28"/>
        </w:rPr>
        <w:t xml:space="preserve"> 8</w:t>
      </w:r>
      <w:r w:rsidR="00C52519" w:rsidRPr="00B300EE">
        <w:rPr>
          <w:rFonts w:ascii="Times New Roman" w:hAnsi="Times New Roman" w:cs="Times New Roman"/>
          <w:b/>
          <w:sz w:val="28"/>
          <w:szCs w:val="28"/>
        </w:rPr>
        <w:t>.</w:t>
      </w:r>
      <w:r w:rsidR="00C52519" w:rsidRPr="00B300EE">
        <w:rPr>
          <w:rFonts w:ascii="Times New Roman" w:hAnsi="Times New Roman" w:cs="Times New Roman"/>
          <w:sz w:val="28"/>
          <w:szCs w:val="28"/>
        </w:rPr>
        <w:t xml:space="preserve">  </w:t>
      </w:r>
      <w:r w:rsidR="008E3DFF">
        <w:rPr>
          <w:rFonts w:ascii="Times New Roman" w:hAnsi="Times New Roman" w:cs="Times New Roman"/>
          <w:sz w:val="28"/>
          <w:szCs w:val="28"/>
        </w:rPr>
        <w:t>По состоянию на 1 января 2013</w:t>
      </w:r>
      <w:r w:rsidR="00BD4075" w:rsidRPr="00B300EE">
        <w:rPr>
          <w:rFonts w:ascii="Times New Roman" w:hAnsi="Times New Roman" w:cs="Times New Roman"/>
          <w:sz w:val="28"/>
          <w:szCs w:val="28"/>
        </w:rPr>
        <w:t xml:space="preserve"> года в бюджет города Каспийска поступило доходов в объеме </w:t>
      </w:r>
      <w:r w:rsidR="008E3DFF">
        <w:rPr>
          <w:rFonts w:ascii="Times New Roman" w:hAnsi="Times New Roman" w:cs="Times New Roman"/>
          <w:sz w:val="28"/>
          <w:szCs w:val="28"/>
        </w:rPr>
        <w:t>959,019</w:t>
      </w:r>
      <w:r w:rsidR="00BD4075" w:rsidRPr="00B300EE">
        <w:rPr>
          <w:rFonts w:ascii="Times New Roman" w:hAnsi="Times New Roman" w:cs="Times New Roman"/>
          <w:sz w:val="28"/>
          <w:szCs w:val="28"/>
        </w:rPr>
        <w:t xml:space="preserve"> млн. рублей (</w:t>
      </w:r>
      <w:r w:rsidR="008E3DFF">
        <w:rPr>
          <w:rFonts w:ascii="Times New Roman" w:hAnsi="Times New Roman" w:cs="Times New Roman"/>
          <w:sz w:val="28"/>
          <w:szCs w:val="28"/>
        </w:rPr>
        <w:t>99,5</w:t>
      </w:r>
      <w:r w:rsidR="00BD4075" w:rsidRPr="00B300EE">
        <w:rPr>
          <w:rFonts w:ascii="Times New Roman" w:hAnsi="Times New Roman" w:cs="Times New Roman"/>
          <w:sz w:val="28"/>
          <w:szCs w:val="28"/>
        </w:rPr>
        <w:t xml:space="preserve"> % годового задания), в том числе собственных – </w:t>
      </w:r>
      <w:r w:rsidR="008E3DFF">
        <w:rPr>
          <w:rFonts w:ascii="Times New Roman" w:hAnsi="Times New Roman" w:cs="Times New Roman"/>
          <w:sz w:val="28"/>
          <w:szCs w:val="28"/>
        </w:rPr>
        <w:t>335,6</w:t>
      </w:r>
      <w:r w:rsidR="00BD4075" w:rsidRPr="00B300EE">
        <w:rPr>
          <w:rFonts w:ascii="Times New Roman" w:hAnsi="Times New Roman" w:cs="Times New Roman"/>
          <w:sz w:val="28"/>
          <w:szCs w:val="28"/>
        </w:rPr>
        <w:t xml:space="preserve"> млн. рублей (</w:t>
      </w:r>
      <w:r w:rsidR="008E3DFF">
        <w:rPr>
          <w:rFonts w:ascii="Times New Roman" w:hAnsi="Times New Roman" w:cs="Times New Roman"/>
          <w:sz w:val="28"/>
          <w:szCs w:val="28"/>
        </w:rPr>
        <w:t>114,2</w:t>
      </w:r>
      <w:r w:rsidR="00BD4075" w:rsidRPr="00B300EE">
        <w:rPr>
          <w:rFonts w:ascii="Times New Roman" w:hAnsi="Times New Roman" w:cs="Times New Roman"/>
          <w:sz w:val="28"/>
          <w:szCs w:val="28"/>
        </w:rPr>
        <w:t xml:space="preserve"> годового задания).</w:t>
      </w:r>
    </w:p>
    <w:p w:rsidR="00BD4075" w:rsidRPr="00B300EE" w:rsidRDefault="00BD4075" w:rsidP="00BD4075">
      <w:pPr>
        <w:pStyle w:val="ConsPlusNormal"/>
        <w:widowControl/>
        <w:ind w:firstLine="567"/>
        <w:jc w:val="both"/>
        <w:rPr>
          <w:rFonts w:ascii="Times New Roman" w:hAnsi="Times New Roman" w:cs="Times New Roman"/>
          <w:sz w:val="28"/>
          <w:szCs w:val="28"/>
        </w:rPr>
      </w:pPr>
      <w:r w:rsidRPr="00B300EE">
        <w:rPr>
          <w:rFonts w:ascii="Times New Roman" w:hAnsi="Times New Roman" w:cs="Times New Roman"/>
          <w:sz w:val="28"/>
          <w:szCs w:val="28"/>
        </w:rPr>
        <w:t xml:space="preserve"> С</w:t>
      </w:r>
      <w:r w:rsidR="008E3DFF">
        <w:rPr>
          <w:rFonts w:ascii="Times New Roman" w:hAnsi="Times New Roman" w:cs="Times New Roman"/>
          <w:sz w:val="28"/>
          <w:szCs w:val="28"/>
        </w:rPr>
        <w:t>умма  расходов  бюджета  за 2012</w:t>
      </w:r>
      <w:r w:rsidRPr="00B300EE">
        <w:rPr>
          <w:rFonts w:ascii="Times New Roman" w:hAnsi="Times New Roman" w:cs="Times New Roman"/>
          <w:sz w:val="28"/>
          <w:szCs w:val="28"/>
        </w:rPr>
        <w:t xml:space="preserve"> год составила </w:t>
      </w:r>
      <w:r w:rsidR="008E3DFF">
        <w:rPr>
          <w:rFonts w:ascii="Times New Roman" w:hAnsi="Times New Roman" w:cs="Times New Roman"/>
          <w:sz w:val="28"/>
          <w:szCs w:val="28"/>
        </w:rPr>
        <w:t>1028,3</w:t>
      </w:r>
      <w:r w:rsidRPr="00B300EE">
        <w:rPr>
          <w:rFonts w:ascii="Times New Roman" w:hAnsi="Times New Roman" w:cs="Times New Roman"/>
          <w:sz w:val="28"/>
          <w:szCs w:val="28"/>
        </w:rPr>
        <w:t xml:space="preserve"> млн. рублей или </w:t>
      </w:r>
      <w:r w:rsidR="008E3DFF">
        <w:rPr>
          <w:rFonts w:ascii="Times New Roman" w:hAnsi="Times New Roman" w:cs="Times New Roman"/>
          <w:sz w:val="28"/>
          <w:szCs w:val="28"/>
        </w:rPr>
        <w:t>94,9</w:t>
      </w:r>
      <w:r w:rsidRPr="00B300EE">
        <w:rPr>
          <w:rFonts w:ascii="Times New Roman" w:hAnsi="Times New Roman" w:cs="Times New Roman"/>
          <w:sz w:val="28"/>
          <w:szCs w:val="28"/>
        </w:rPr>
        <w:t xml:space="preserve"> % от годового плана.</w:t>
      </w:r>
    </w:p>
    <w:p w:rsidR="00BD4075" w:rsidRPr="00B300EE" w:rsidRDefault="00BD4075" w:rsidP="00BD4075">
      <w:pPr>
        <w:pStyle w:val="ConsPlusNormal"/>
        <w:widowControl/>
        <w:ind w:firstLine="567"/>
        <w:jc w:val="both"/>
        <w:rPr>
          <w:rFonts w:ascii="Times New Roman" w:hAnsi="Times New Roman" w:cs="Times New Roman"/>
          <w:sz w:val="28"/>
          <w:szCs w:val="28"/>
        </w:rPr>
      </w:pPr>
      <w:r w:rsidRPr="00B300EE">
        <w:rPr>
          <w:rFonts w:ascii="Times New Roman" w:hAnsi="Times New Roman" w:cs="Times New Roman"/>
          <w:sz w:val="28"/>
          <w:szCs w:val="28"/>
        </w:rPr>
        <w:t>Объем собственных д</w:t>
      </w:r>
      <w:r w:rsidR="008E3DFF">
        <w:rPr>
          <w:rFonts w:ascii="Times New Roman" w:hAnsi="Times New Roman" w:cs="Times New Roman"/>
          <w:sz w:val="28"/>
          <w:szCs w:val="28"/>
        </w:rPr>
        <w:t>оходов городского бюджета в 2012</w:t>
      </w:r>
      <w:r w:rsidRPr="00B300EE">
        <w:rPr>
          <w:rFonts w:ascii="Times New Roman" w:hAnsi="Times New Roman" w:cs="Times New Roman"/>
          <w:sz w:val="28"/>
          <w:szCs w:val="28"/>
        </w:rPr>
        <w:t xml:space="preserve"> году вырос по сравнению с соответствую</w:t>
      </w:r>
      <w:r w:rsidR="008E3DFF">
        <w:rPr>
          <w:rFonts w:ascii="Times New Roman" w:hAnsi="Times New Roman" w:cs="Times New Roman"/>
          <w:sz w:val="28"/>
          <w:szCs w:val="28"/>
        </w:rPr>
        <w:t>щим периодом прошлого года на 4,5</w:t>
      </w:r>
      <w:r w:rsidRPr="00B300EE">
        <w:rPr>
          <w:rFonts w:ascii="Times New Roman" w:hAnsi="Times New Roman" w:cs="Times New Roman"/>
          <w:sz w:val="28"/>
          <w:szCs w:val="28"/>
        </w:rPr>
        <w:t xml:space="preserve"> %.</w:t>
      </w:r>
    </w:p>
    <w:p w:rsidR="00BD4075" w:rsidRPr="00B300EE" w:rsidRDefault="00BD4075" w:rsidP="00BD4075">
      <w:pPr>
        <w:pStyle w:val="ConsPlusNormal"/>
        <w:widowControl/>
        <w:ind w:firstLine="567"/>
        <w:jc w:val="both"/>
        <w:rPr>
          <w:rFonts w:ascii="Times New Roman" w:hAnsi="Times New Roman" w:cs="Times New Roman"/>
          <w:sz w:val="28"/>
          <w:szCs w:val="28"/>
        </w:rPr>
      </w:pPr>
      <w:r w:rsidRPr="00B300EE">
        <w:rPr>
          <w:rFonts w:ascii="Times New Roman" w:hAnsi="Times New Roman" w:cs="Times New Roman"/>
          <w:sz w:val="28"/>
          <w:szCs w:val="28"/>
        </w:rPr>
        <w:t xml:space="preserve">По-прежнему, главным источником наполнения бюджета города остается налог с доходов физических лиц, который составляет около </w:t>
      </w:r>
      <w:r w:rsidR="008E3DFF">
        <w:rPr>
          <w:rFonts w:ascii="Times New Roman" w:hAnsi="Times New Roman" w:cs="Times New Roman"/>
          <w:sz w:val="28"/>
          <w:szCs w:val="28"/>
        </w:rPr>
        <w:t>75,2</w:t>
      </w:r>
      <w:r w:rsidRPr="00B300EE">
        <w:rPr>
          <w:rFonts w:ascii="Times New Roman" w:hAnsi="Times New Roman" w:cs="Times New Roman"/>
          <w:sz w:val="28"/>
          <w:szCs w:val="28"/>
        </w:rPr>
        <w:t xml:space="preserve"> % собственных доходов городского бюджета.</w:t>
      </w:r>
    </w:p>
    <w:p w:rsidR="00236469" w:rsidRPr="00B300EE" w:rsidRDefault="00BD4075" w:rsidP="008E3DFF">
      <w:pPr>
        <w:pStyle w:val="ConsPlusNormal"/>
        <w:widowControl/>
        <w:ind w:firstLine="567"/>
        <w:jc w:val="both"/>
        <w:rPr>
          <w:rFonts w:ascii="Times New Roman" w:hAnsi="Times New Roman" w:cs="Times New Roman"/>
          <w:sz w:val="28"/>
          <w:szCs w:val="28"/>
        </w:rPr>
      </w:pPr>
      <w:r w:rsidRPr="00B300EE">
        <w:rPr>
          <w:rFonts w:ascii="Times New Roman" w:hAnsi="Times New Roman" w:cs="Times New Roman"/>
          <w:sz w:val="28"/>
          <w:szCs w:val="28"/>
        </w:rPr>
        <w:t xml:space="preserve">Вторым по величине источником доходов бюджета городского округа  является земельный налог, который составляет </w:t>
      </w:r>
      <w:r w:rsidR="008E3DFF">
        <w:rPr>
          <w:rFonts w:ascii="Times New Roman" w:hAnsi="Times New Roman" w:cs="Times New Roman"/>
          <w:sz w:val="28"/>
          <w:szCs w:val="28"/>
        </w:rPr>
        <w:t>10,9</w:t>
      </w:r>
      <w:r w:rsidRPr="00B300EE">
        <w:rPr>
          <w:rFonts w:ascii="Times New Roman" w:hAnsi="Times New Roman" w:cs="Times New Roman"/>
          <w:sz w:val="28"/>
          <w:szCs w:val="28"/>
        </w:rPr>
        <w:t xml:space="preserve"> % собственных доходов бюджета города, а также доходы от использования имущества, находящегося в муниципальной собственности</w:t>
      </w:r>
      <w:r w:rsidR="008E3DFF">
        <w:rPr>
          <w:rFonts w:ascii="Times New Roman" w:hAnsi="Times New Roman" w:cs="Times New Roman"/>
          <w:sz w:val="28"/>
          <w:szCs w:val="28"/>
        </w:rPr>
        <w:t xml:space="preserve"> (неналоговые доходы) – почти 10</w:t>
      </w:r>
      <w:r w:rsidRPr="00B300EE">
        <w:rPr>
          <w:rFonts w:ascii="Times New Roman" w:hAnsi="Times New Roman" w:cs="Times New Roman"/>
          <w:sz w:val="28"/>
          <w:szCs w:val="28"/>
        </w:rPr>
        <w:t xml:space="preserve"> %, к которым относятся платежи за землю, арендная плата, часть прибыли муниципальных предприятий, эти  доходы  составили </w:t>
      </w:r>
      <w:r w:rsidR="008E3DFF">
        <w:rPr>
          <w:rFonts w:ascii="Times New Roman" w:hAnsi="Times New Roman" w:cs="Times New Roman"/>
          <w:sz w:val="28"/>
          <w:szCs w:val="28"/>
        </w:rPr>
        <w:t>33,5 млн. рублей.</w:t>
      </w:r>
    </w:p>
    <w:p w:rsidR="00236469" w:rsidRDefault="00236469" w:rsidP="00BD4075">
      <w:pPr>
        <w:ind w:firstLine="708"/>
        <w:jc w:val="both"/>
        <w:rPr>
          <w:rFonts w:ascii="Times New Roman" w:hAnsi="Times New Roman" w:cs="Times New Roman"/>
          <w:sz w:val="28"/>
          <w:szCs w:val="28"/>
        </w:rPr>
      </w:pPr>
    </w:p>
    <w:p w:rsidR="00594882" w:rsidRDefault="00594882" w:rsidP="00BD4075">
      <w:pPr>
        <w:ind w:firstLine="708"/>
        <w:jc w:val="both"/>
        <w:rPr>
          <w:rFonts w:ascii="Times New Roman" w:hAnsi="Times New Roman" w:cs="Times New Roman"/>
          <w:sz w:val="28"/>
          <w:szCs w:val="28"/>
        </w:rPr>
      </w:pPr>
    </w:p>
    <w:p w:rsidR="00594882" w:rsidRPr="00B300EE" w:rsidRDefault="00594882" w:rsidP="00BD4075">
      <w:pPr>
        <w:ind w:firstLine="708"/>
        <w:jc w:val="both"/>
        <w:rPr>
          <w:rFonts w:ascii="Times New Roman" w:hAnsi="Times New Roman" w:cs="Times New Roman"/>
          <w:sz w:val="28"/>
          <w:szCs w:val="28"/>
        </w:rPr>
      </w:pPr>
    </w:p>
    <w:p w:rsidR="00BD4075" w:rsidRPr="00B300EE" w:rsidRDefault="00BD4075" w:rsidP="006C1DF3">
      <w:pPr>
        <w:spacing w:after="0" w:line="240" w:lineRule="auto"/>
        <w:ind w:firstLine="708"/>
        <w:jc w:val="both"/>
        <w:rPr>
          <w:rFonts w:ascii="Times New Roman" w:hAnsi="Times New Roman" w:cs="Times New Roman"/>
          <w:sz w:val="28"/>
          <w:szCs w:val="28"/>
        </w:rPr>
      </w:pPr>
      <w:r w:rsidRPr="00B300EE">
        <w:rPr>
          <w:rFonts w:ascii="Times New Roman" w:hAnsi="Times New Roman" w:cs="Times New Roman"/>
          <w:sz w:val="28"/>
          <w:szCs w:val="28"/>
        </w:rPr>
        <w:lastRenderedPageBreak/>
        <w:t>Темпы роста характеризуются следующим образом:</w:t>
      </w:r>
    </w:p>
    <w:p w:rsidR="008E3DFF" w:rsidRPr="00742E14" w:rsidRDefault="008E3DFF" w:rsidP="006C1DF3">
      <w:pPr>
        <w:spacing w:after="0" w:line="240" w:lineRule="auto"/>
        <w:jc w:val="right"/>
        <w:rPr>
          <w:b/>
        </w:rPr>
      </w:pPr>
      <w:r w:rsidRPr="00742E14">
        <w:rPr>
          <w:b/>
        </w:rPr>
        <w:t>(тыс. руб.)</w:t>
      </w:r>
    </w:p>
    <w:tbl>
      <w:tblPr>
        <w:tblW w:w="11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299"/>
        <w:gridCol w:w="1299"/>
        <w:gridCol w:w="1300"/>
        <w:gridCol w:w="1299"/>
        <w:gridCol w:w="1299"/>
        <w:gridCol w:w="1300"/>
        <w:gridCol w:w="661"/>
      </w:tblGrid>
      <w:tr w:rsidR="008E3DFF" w:rsidRPr="00A36FA4" w:rsidTr="006C1DF3">
        <w:tc>
          <w:tcPr>
            <w:tcW w:w="2694" w:type="dxa"/>
            <w:vMerge w:val="restart"/>
            <w:vAlign w:val="center"/>
          </w:tcPr>
          <w:p w:rsidR="008E3DFF" w:rsidRPr="00A36FA4" w:rsidRDefault="008E3DFF" w:rsidP="00C70B2C">
            <w:pPr>
              <w:jc w:val="center"/>
              <w:rPr>
                <w:b/>
                <w:szCs w:val="28"/>
              </w:rPr>
            </w:pPr>
            <w:r>
              <w:rPr>
                <w:b/>
                <w:szCs w:val="28"/>
              </w:rPr>
              <w:t>Показатели</w:t>
            </w:r>
          </w:p>
        </w:tc>
        <w:tc>
          <w:tcPr>
            <w:tcW w:w="7796" w:type="dxa"/>
            <w:gridSpan w:val="6"/>
          </w:tcPr>
          <w:p w:rsidR="008E3DFF" w:rsidRPr="00D244FB" w:rsidRDefault="008E3DFF" w:rsidP="00C70B2C">
            <w:pPr>
              <w:jc w:val="center"/>
              <w:rPr>
                <w:b/>
                <w:szCs w:val="28"/>
              </w:rPr>
            </w:pPr>
            <w:r>
              <w:rPr>
                <w:b/>
                <w:szCs w:val="28"/>
              </w:rPr>
              <w:t>Годы</w:t>
            </w:r>
          </w:p>
        </w:tc>
        <w:tc>
          <w:tcPr>
            <w:tcW w:w="661" w:type="dxa"/>
            <w:tcBorders>
              <w:top w:val="nil"/>
              <w:right w:val="nil"/>
            </w:tcBorders>
          </w:tcPr>
          <w:p w:rsidR="008E3DFF" w:rsidRPr="00D244FB" w:rsidRDefault="008E3DFF" w:rsidP="00C70B2C">
            <w:pPr>
              <w:jc w:val="center"/>
              <w:rPr>
                <w:b/>
                <w:szCs w:val="28"/>
              </w:rPr>
            </w:pPr>
          </w:p>
        </w:tc>
      </w:tr>
      <w:tr w:rsidR="006C1DF3" w:rsidRPr="00A36FA4" w:rsidTr="006C1DF3">
        <w:trPr>
          <w:gridAfter w:val="1"/>
          <w:wAfter w:w="661" w:type="dxa"/>
        </w:trPr>
        <w:tc>
          <w:tcPr>
            <w:tcW w:w="2694" w:type="dxa"/>
            <w:vMerge/>
          </w:tcPr>
          <w:p w:rsidR="008E3DFF" w:rsidRPr="00A36FA4" w:rsidRDefault="008E3DFF" w:rsidP="00C70B2C">
            <w:pPr>
              <w:jc w:val="center"/>
              <w:rPr>
                <w:b/>
                <w:szCs w:val="28"/>
              </w:rPr>
            </w:pPr>
          </w:p>
        </w:tc>
        <w:tc>
          <w:tcPr>
            <w:tcW w:w="1299" w:type="dxa"/>
            <w:vAlign w:val="center"/>
          </w:tcPr>
          <w:p w:rsidR="008E3DFF" w:rsidRDefault="008E3DFF" w:rsidP="00C70B2C">
            <w:pPr>
              <w:jc w:val="center"/>
              <w:rPr>
                <w:b/>
                <w:szCs w:val="28"/>
              </w:rPr>
            </w:pPr>
            <w:r>
              <w:rPr>
                <w:b/>
                <w:szCs w:val="28"/>
              </w:rPr>
              <w:t>2011</w:t>
            </w:r>
          </w:p>
          <w:p w:rsidR="008E3DFF" w:rsidRPr="00D244FB" w:rsidRDefault="008E3DFF" w:rsidP="00C70B2C">
            <w:pPr>
              <w:jc w:val="center"/>
              <w:rPr>
                <w:b/>
                <w:szCs w:val="28"/>
              </w:rPr>
            </w:pPr>
            <w:r>
              <w:rPr>
                <w:b/>
                <w:szCs w:val="28"/>
              </w:rPr>
              <w:t>факт</w:t>
            </w:r>
          </w:p>
        </w:tc>
        <w:tc>
          <w:tcPr>
            <w:tcW w:w="1299" w:type="dxa"/>
            <w:vAlign w:val="center"/>
          </w:tcPr>
          <w:p w:rsidR="008E3DFF" w:rsidRDefault="008E3DFF" w:rsidP="00C70B2C">
            <w:pPr>
              <w:jc w:val="center"/>
              <w:rPr>
                <w:b/>
                <w:szCs w:val="28"/>
              </w:rPr>
            </w:pPr>
            <w:r>
              <w:rPr>
                <w:b/>
                <w:szCs w:val="28"/>
              </w:rPr>
              <w:t>2012</w:t>
            </w:r>
          </w:p>
          <w:p w:rsidR="008E3DFF" w:rsidRPr="00D244FB" w:rsidRDefault="008E3DFF" w:rsidP="00C70B2C">
            <w:pPr>
              <w:jc w:val="center"/>
              <w:rPr>
                <w:b/>
                <w:szCs w:val="28"/>
              </w:rPr>
            </w:pPr>
            <w:r>
              <w:rPr>
                <w:b/>
                <w:szCs w:val="28"/>
              </w:rPr>
              <w:t>факт</w:t>
            </w:r>
          </w:p>
        </w:tc>
        <w:tc>
          <w:tcPr>
            <w:tcW w:w="1300" w:type="dxa"/>
            <w:vAlign w:val="center"/>
          </w:tcPr>
          <w:p w:rsidR="008E3DFF" w:rsidRPr="004100B4" w:rsidRDefault="008E3DFF" w:rsidP="00C70B2C">
            <w:pPr>
              <w:jc w:val="center"/>
              <w:rPr>
                <w:b/>
                <w:szCs w:val="28"/>
              </w:rPr>
            </w:pPr>
            <w:r w:rsidRPr="004100B4">
              <w:rPr>
                <w:b/>
                <w:szCs w:val="28"/>
              </w:rPr>
              <w:t>2013</w:t>
            </w:r>
          </w:p>
          <w:p w:rsidR="008E3DFF" w:rsidRPr="004100B4" w:rsidRDefault="008E3DFF" w:rsidP="00C70B2C">
            <w:pPr>
              <w:jc w:val="center"/>
              <w:rPr>
                <w:b/>
                <w:szCs w:val="28"/>
              </w:rPr>
            </w:pPr>
            <w:r w:rsidRPr="004100B4">
              <w:rPr>
                <w:b/>
                <w:szCs w:val="28"/>
              </w:rPr>
              <w:t>оценка</w:t>
            </w:r>
          </w:p>
        </w:tc>
        <w:tc>
          <w:tcPr>
            <w:tcW w:w="1299" w:type="dxa"/>
            <w:vAlign w:val="center"/>
          </w:tcPr>
          <w:p w:rsidR="008E3DFF" w:rsidRPr="004100B4" w:rsidRDefault="008E3DFF" w:rsidP="00C70B2C">
            <w:pPr>
              <w:jc w:val="center"/>
              <w:rPr>
                <w:b/>
                <w:szCs w:val="28"/>
              </w:rPr>
            </w:pPr>
            <w:r w:rsidRPr="004100B4">
              <w:rPr>
                <w:b/>
                <w:szCs w:val="28"/>
              </w:rPr>
              <w:t>2014</w:t>
            </w:r>
          </w:p>
          <w:p w:rsidR="008E3DFF" w:rsidRPr="004100B4" w:rsidRDefault="008E3DFF" w:rsidP="00C70B2C">
            <w:pPr>
              <w:jc w:val="center"/>
              <w:rPr>
                <w:b/>
                <w:szCs w:val="28"/>
              </w:rPr>
            </w:pPr>
            <w:r w:rsidRPr="004100B4">
              <w:rPr>
                <w:b/>
                <w:szCs w:val="28"/>
              </w:rPr>
              <w:t>прогноз</w:t>
            </w:r>
          </w:p>
        </w:tc>
        <w:tc>
          <w:tcPr>
            <w:tcW w:w="1299" w:type="dxa"/>
            <w:vAlign w:val="center"/>
          </w:tcPr>
          <w:p w:rsidR="008E3DFF" w:rsidRPr="00834EAA" w:rsidRDefault="008E3DFF" w:rsidP="00C70B2C">
            <w:pPr>
              <w:jc w:val="center"/>
              <w:rPr>
                <w:b/>
                <w:szCs w:val="28"/>
              </w:rPr>
            </w:pPr>
            <w:r w:rsidRPr="00834EAA">
              <w:rPr>
                <w:b/>
                <w:szCs w:val="28"/>
              </w:rPr>
              <w:t>2015</w:t>
            </w:r>
          </w:p>
          <w:p w:rsidR="008E3DFF" w:rsidRPr="00834EAA" w:rsidRDefault="008E3DFF" w:rsidP="00C70B2C">
            <w:pPr>
              <w:jc w:val="center"/>
              <w:rPr>
                <w:b/>
                <w:szCs w:val="28"/>
              </w:rPr>
            </w:pPr>
            <w:r w:rsidRPr="00834EAA">
              <w:rPr>
                <w:b/>
                <w:szCs w:val="28"/>
              </w:rPr>
              <w:t>прогноз</w:t>
            </w:r>
          </w:p>
        </w:tc>
        <w:tc>
          <w:tcPr>
            <w:tcW w:w="1300" w:type="dxa"/>
            <w:vAlign w:val="center"/>
          </w:tcPr>
          <w:p w:rsidR="008E3DFF" w:rsidRPr="00834EAA" w:rsidRDefault="008E3DFF" w:rsidP="00C70B2C">
            <w:pPr>
              <w:jc w:val="center"/>
              <w:rPr>
                <w:b/>
                <w:szCs w:val="28"/>
              </w:rPr>
            </w:pPr>
            <w:r w:rsidRPr="00834EAA">
              <w:rPr>
                <w:b/>
                <w:szCs w:val="28"/>
              </w:rPr>
              <w:t>2016</w:t>
            </w:r>
          </w:p>
          <w:p w:rsidR="008E3DFF" w:rsidRPr="00834EAA" w:rsidRDefault="008E3DFF" w:rsidP="00C70B2C">
            <w:pPr>
              <w:jc w:val="center"/>
              <w:rPr>
                <w:b/>
                <w:szCs w:val="28"/>
              </w:rPr>
            </w:pPr>
            <w:r w:rsidRPr="00834EAA">
              <w:rPr>
                <w:b/>
                <w:szCs w:val="28"/>
              </w:rPr>
              <w:t>прогноз</w:t>
            </w:r>
          </w:p>
        </w:tc>
      </w:tr>
      <w:tr w:rsidR="006C1DF3" w:rsidRPr="003E354F" w:rsidTr="006C1DF3">
        <w:trPr>
          <w:gridAfter w:val="1"/>
          <w:wAfter w:w="661" w:type="dxa"/>
        </w:trPr>
        <w:tc>
          <w:tcPr>
            <w:tcW w:w="2694" w:type="dxa"/>
          </w:tcPr>
          <w:p w:rsidR="008E3DFF" w:rsidRPr="003E354F" w:rsidRDefault="008E3DFF" w:rsidP="00B90FDB">
            <w:pPr>
              <w:spacing w:after="0" w:line="240" w:lineRule="auto"/>
              <w:jc w:val="center"/>
              <w:rPr>
                <w:b/>
                <w:szCs w:val="28"/>
              </w:rPr>
            </w:pPr>
            <w:r w:rsidRPr="003E354F">
              <w:rPr>
                <w:b/>
                <w:szCs w:val="28"/>
              </w:rPr>
              <w:t>Доходы – всего</w:t>
            </w:r>
          </w:p>
        </w:tc>
        <w:tc>
          <w:tcPr>
            <w:tcW w:w="1299" w:type="dxa"/>
          </w:tcPr>
          <w:p w:rsidR="008E3DFF" w:rsidRPr="003E354F" w:rsidRDefault="008E3DFF" w:rsidP="00B90FDB">
            <w:pPr>
              <w:spacing w:after="0" w:line="240" w:lineRule="auto"/>
              <w:jc w:val="center"/>
              <w:rPr>
                <w:b/>
                <w:szCs w:val="28"/>
              </w:rPr>
            </w:pPr>
            <w:r>
              <w:rPr>
                <w:b/>
                <w:szCs w:val="28"/>
              </w:rPr>
              <w:t>1119382,1</w:t>
            </w:r>
          </w:p>
        </w:tc>
        <w:tc>
          <w:tcPr>
            <w:tcW w:w="1299" w:type="dxa"/>
          </w:tcPr>
          <w:p w:rsidR="008E3DFF" w:rsidRPr="003E354F" w:rsidRDefault="008E3DFF" w:rsidP="00B90FDB">
            <w:pPr>
              <w:spacing w:after="0" w:line="240" w:lineRule="auto"/>
              <w:jc w:val="center"/>
              <w:rPr>
                <w:b/>
                <w:szCs w:val="28"/>
              </w:rPr>
            </w:pPr>
            <w:r>
              <w:rPr>
                <w:b/>
                <w:szCs w:val="28"/>
              </w:rPr>
              <w:t>959019,6</w:t>
            </w:r>
          </w:p>
        </w:tc>
        <w:tc>
          <w:tcPr>
            <w:tcW w:w="1300" w:type="dxa"/>
          </w:tcPr>
          <w:p w:rsidR="008E3DFF" w:rsidRPr="004100B4" w:rsidRDefault="008E3DFF" w:rsidP="00B90FDB">
            <w:pPr>
              <w:spacing w:after="0" w:line="240" w:lineRule="auto"/>
              <w:jc w:val="center"/>
              <w:rPr>
                <w:b/>
                <w:szCs w:val="28"/>
              </w:rPr>
            </w:pPr>
            <w:r w:rsidRPr="004100B4">
              <w:rPr>
                <w:b/>
                <w:szCs w:val="28"/>
              </w:rPr>
              <w:t>1019950,3</w:t>
            </w:r>
          </w:p>
        </w:tc>
        <w:tc>
          <w:tcPr>
            <w:tcW w:w="1299" w:type="dxa"/>
          </w:tcPr>
          <w:p w:rsidR="008E3DFF" w:rsidRPr="00EA5E6D" w:rsidRDefault="008E3DFF" w:rsidP="00B90FDB">
            <w:pPr>
              <w:spacing w:after="0" w:line="240" w:lineRule="auto"/>
              <w:jc w:val="center"/>
              <w:rPr>
                <w:b/>
                <w:szCs w:val="28"/>
              </w:rPr>
            </w:pPr>
            <w:r>
              <w:rPr>
                <w:b/>
                <w:szCs w:val="28"/>
              </w:rPr>
              <w:t>1186807</w:t>
            </w:r>
          </w:p>
        </w:tc>
        <w:tc>
          <w:tcPr>
            <w:tcW w:w="1299" w:type="dxa"/>
          </w:tcPr>
          <w:p w:rsidR="008E3DFF" w:rsidRPr="00834EAA" w:rsidRDefault="008E3DFF" w:rsidP="00B90FDB">
            <w:pPr>
              <w:spacing w:after="0" w:line="240" w:lineRule="auto"/>
              <w:jc w:val="center"/>
              <w:rPr>
                <w:b/>
                <w:szCs w:val="28"/>
              </w:rPr>
            </w:pPr>
            <w:r>
              <w:rPr>
                <w:b/>
                <w:szCs w:val="28"/>
              </w:rPr>
              <w:t>1220757</w:t>
            </w:r>
          </w:p>
        </w:tc>
        <w:tc>
          <w:tcPr>
            <w:tcW w:w="1300" w:type="dxa"/>
          </w:tcPr>
          <w:p w:rsidR="008E3DFF" w:rsidRPr="00834EAA" w:rsidRDefault="008E3DFF" w:rsidP="00B90FDB">
            <w:pPr>
              <w:spacing w:after="0" w:line="240" w:lineRule="auto"/>
              <w:jc w:val="center"/>
              <w:rPr>
                <w:b/>
                <w:szCs w:val="28"/>
              </w:rPr>
            </w:pPr>
            <w:r>
              <w:rPr>
                <w:b/>
                <w:szCs w:val="28"/>
              </w:rPr>
              <w:t>1291446</w:t>
            </w:r>
          </w:p>
        </w:tc>
      </w:tr>
      <w:tr w:rsidR="006C1DF3" w:rsidRPr="003E354F" w:rsidTr="006C1DF3">
        <w:trPr>
          <w:gridAfter w:val="1"/>
          <w:wAfter w:w="661" w:type="dxa"/>
        </w:trPr>
        <w:tc>
          <w:tcPr>
            <w:tcW w:w="2694" w:type="dxa"/>
            <w:vAlign w:val="center"/>
          </w:tcPr>
          <w:p w:rsidR="008E3DFF" w:rsidRPr="003E354F" w:rsidRDefault="008E3DFF" w:rsidP="00B90FDB">
            <w:pPr>
              <w:spacing w:after="0" w:line="240" w:lineRule="auto"/>
              <w:jc w:val="center"/>
              <w:rPr>
                <w:szCs w:val="28"/>
              </w:rPr>
            </w:pPr>
            <w:r w:rsidRPr="003E354F">
              <w:rPr>
                <w:szCs w:val="28"/>
              </w:rPr>
              <w:t>рост к предыдущему году</w:t>
            </w:r>
          </w:p>
        </w:tc>
        <w:tc>
          <w:tcPr>
            <w:tcW w:w="1299" w:type="dxa"/>
            <w:vAlign w:val="center"/>
          </w:tcPr>
          <w:p w:rsidR="008E3DFF" w:rsidRPr="003E354F" w:rsidRDefault="008E3DFF" w:rsidP="00B90FDB">
            <w:pPr>
              <w:spacing w:after="0" w:line="240" w:lineRule="auto"/>
              <w:jc w:val="center"/>
              <w:rPr>
                <w:szCs w:val="28"/>
              </w:rPr>
            </w:pPr>
            <w:r>
              <w:rPr>
                <w:szCs w:val="28"/>
              </w:rPr>
              <w:t>114,6</w:t>
            </w:r>
          </w:p>
        </w:tc>
        <w:tc>
          <w:tcPr>
            <w:tcW w:w="1299" w:type="dxa"/>
            <w:vAlign w:val="center"/>
          </w:tcPr>
          <w:p w:rsidR="008E3DFF" w:rsidRPr="003E354F" w:rsidRDefault="008E3DFF" w:rsidP="00B90FDB">
            <w:pPr>
              <w:spacing w:after="0" w:line="240" w:lineRule="auto"/>
              <w:jc w:val="center"/>
              <w:rPr>
                <w:szCs w:val="28"/>
              </w:rPr>
            </w:pPr>
            <w:r>
              <w:rPr>
                <w:szCs w:val="28"/>
              </w:rPr>
              <w:t>85,7</w:t>
            </w:r>
          </w:p>
        </w:tc>
        <w:tc>
          <w:tcPr>
            <w:tcW w:w="1300" w:type="dxa"/>
            <w:vAlign w:val="center"/>
          </w:tcPr>
          <w:p w:rsidR="008E3DFF" w:rsidRPr="004100B4" w:rsidRDefault="008E3DFF" w:rsidP="00B90FDB">
            <w:pPr>
              <w:spacing w:after="0" w:line="240" w:lineRule="auto"/>
              <w:jc w:val="center"/>
              <w:rPr>
                <w:szCs w:val="28"/>
              </w:rPr>
            </w:pPr>
            <w:r w:rsidRPr="004100B4">
              <w:rPr>
                <w:szCs w:val="28"/>
              </w:rPr>
              <w:t>106,4</w:t>
            </w:r>
          </w:p>
        </w:tc>
        <w:tc>
          <w:tcPr>
            <w:tcW w:w="1299" w:type="dxa"/>
            <w:vAlign w:val="center"/>
          </w:tcPr>
          <w:p w:rsidR="008E3DFF" w:rsidRPr="004100B4" w:rsidRDefault="008E3DFF" w:rsidP="00B90FDB">
            <w:pPr>
              <w:spacing w:after="0" w:line="240" w:lineRule="auto"/>
              <w:jc w:val="center"/>
              <w:rPr>
                <w:szCs w:val="28"/>
              </w:rPr>
            </w:pPr>
            <w:r>
              <w:rPr>
                <w:szCs w:val="28"/>
              </w:rPr>
              <w:t>116,4</w:t>
            </w:r>
          </w:p>
        </w:tc>
        <w:tc>
          <w:tcPr>
            <w:tcW w:w="1299" w:type="dxa"/>
            <w:vAlign w:val="center"/>
          </w:tcPr>
          <w:p w:rsidR="008E3DFF" w:rsidRPr="00834EAA" w:rsidRDefault="008E3DFF" w:rsidP="00B90FDB">
            <w:pPr>
              <w:spacing w:after="0" w:line="240" w:lineRule="auto"/>
              <w:jc w:val="center"/>
              <w:rPr>
                <w:szCs w:val="28"/>
              </w:rPr>
            </w:pPr>
            <w:r>
              <w:rPr>
                <w:szCs w:val="28"/>
              </w:rPr>
              <w:t>102,9</w:t>
            </w:r>
          </w:p>
        </w:tc>
        <w:tc>
          <w:tcPr>
            <w:tcW w:w="1300" w:type="dxa"/>
            <w:vAlign w:val="center"/>
          </w:tcPr>
          <w:p w:rsidR="008E3DFF" w:rsidRPr="00834EAA" w:rsidRDefault="008E3DFF" w:rsidP="00B90FDB">
            <w:pPr>
              <w:spacing w:after="0" w:line="240" w:lineRule="auto"/>
              <w:jc w:val="center"/>
              <w:rPr>
                <w:szCs w:val="28"/>
              </w:rPr>
            </w:pPr>
            <w:r>
              <w:rPr>
                <w:szCs w:val="28"/>
              </w:rPr>
              <w:t>105,8</w:t>
            </w:r>
          </w:p>
        </w:tc>
      </w:tr>
      <w:tr w:rsidR="006C1DF3" w:rsidRPr="003E354F" w:rsidTr="006C1DF3">
        <w:trPr>
          <w:gridAfter w:val="1"/>
          <w:wAfter w:w="661" w:type="dxa"/>
        </w:trPr>
        <w:tc>
          <w:tcPr>
            <w:tcW w:w="2694" w:type="dxa"/>
          </w:tcPr>
          <w:p w:rsidR="008E3DFF" w:rsidRPr="003E354F" w:rsidRDefault="008E3DFF" w:rsidP="00B90FDB">
            <w:pPr>
              <w:spacing w:after="0" w:line="240" w:lineRule="auto"/>
              <w:jc w:val="center"/>
              <w:rPr>
                <w:b/>
                <w:szCs w:val="28"/>
              </w:rPr>
            </w:pPr>
            <w:r w:rsidRPr="003E354F">
              <w:rPr>
                <w:b/>
                <w:szCs w:val="28"/>
              </w:rPr>
              <w:t>Собственные доходы</w:t>
            </w:r>
          </w:p>
        </w:tc>
        <w:tc>
          <w:tcPr>
            <w:tcW w:w="1299" w:type="dxa"/>
          </w:tcPr>
          <w:p w:rsidR="008E3DFF" w:rsidRPr="003E354F" w:rsidRDefault="008E3DFF" w:rsidP="00B90FDB">
            <w:pPr>
              <w:spacing w:after="0" w:line="240" w:lineRule="auto"/>
              <w:jc w:val="center"/>
              <w:rPr>
                <w:b/>
                <w:szCs w:val="28"/>
              </w:rPr>
            </w:pPr>
            <w:r>
              <w:rPr>
                <w:b/>
                <w:szCs w:val="28"/>
              </w:rPr>
              <w:t>321167,1</w:t>
            </w:r>
          </w:p>
        </w:tc>
        <w:tc>
          <w:tcPr>
            <w:tcW w:w="1299" w:type="dxa"/>
          </w:tcPr>
          <w:p w:rsidR="008E3DFF" w:rsidRPr="003E354F" w:rsidRDefault="008E3DFF" w:rsidP="00B90FDB">
            <w:pPr>
              <w:spacing w:after="0" w:line="240" w:lineRule="auto"/>
              <w:jc w:val="center"/>
              <w:rPr>
                <w:b/>
                <w:szCs w:val="28"/>
              </w:rPr>
            </w:pPr>
            <w:r>
              <w:rPr>
                <w:b/>
                <w:szCs w:val="28"/>
              </w:rPr>
              <w:t>335629,7</w:t>
            </w:r>
          </w:p>
        </w:tc>
        <w:tc>
          <w:tcPr>
            <w:tcW w:w="1300" w:type="dxa"/>
          </w:tcPr>
          <w:p w:rsidR="008E3DFF" w:rsidRPr="004100B4" w:rsidRDefault="008E3DFF" w:rsidP="00B90FDB">
            <w:pPr>
              <w:spacing w:after="0" w:line="240" w:lineRule="auto"/>
              <w:jc w:val="center"/>
              <w:rPr>
                <w:b/>
                <w:szCs w:val="28"/>
              </w:rPr>
            </w:pPr>
            <w:r w:rsidRPr="004100B4">
              <w:rPr>
                <w:b/>
                <w:szCs w:val="28"/>
              </w:rPr>
              <w:t>364403</w:t>
            </w:r>
          </w:p>
        </w:tc>
        <w:tc>
          <w:tcPr>
            <w:tcW w:w="1299" w:type="dxa"/>
          </w:tcPr>
          <w:p w:rsidR="008E3DFF" w:rsidRPr="00E546B9" w:rsidRDefault="008E3DFF" w:rsidP="00B90FDB">
            <w:pPr>
              <w:spacing w:after="0" w:line="240" w:lineRule="auto"/>
              <w:jc w:val="center"/>
              <w:rPr>
                <w:b/>
                <w:szCs w:val="28"/>
                <w:highlight w:val="yellow"/>
              </w:rPr>
            </w:pPr>
            <w:r w:rsidRPr="00442FB7">
              <w:rPr>
                <w:b/>
                <w:szCs w:val="28"/>
              </w:rPr>
              <w:t>349314</w:t>
            </w:r>
          </w:p>
        </w:tc>
        <w:tc>
          <w:tcPr>
            <w:tcW w:w="1299" w:type="dxa"/>
          </w:tcPr>
          <w:p w:rsidR="008E3DFF" w:rsidRPr="00834EAA" w:rsidRDefault="008E3DFF" w:rsidP="00B90FDB">
            <w:pPr>
              <w:spacing w:after="0" w:line="240" w:lineRule="auto"/>
              <w:jc w:val="center"/>
              <w:rPr>
                <w:b/>
                <w:szCs w:val="28"/>
              </w:rPr>
            </w:pPr>
            <w:r>
              <w:rPr>
                <w:b/>
                <w:szCs w:val="28"/>
              </w:rPr>
              <w:t>378830</w:t>
            </w:r>
          </w:p>
        </w:tc>
        <w:tc>
          <w:tcPr>
            <w:tcW w:w="1300" w:type="dxa"/>
          </w:tcPr>
          <w:p w:rsidR="008E3DFF" w:rsidRPr="00834EAA" w:rsidRDefault="008E3DFF" w:rsidP="00B90FDB">
            <w:pPr>
              <w:spacing w:after="0" w:line="240" w:lineRule="auto"/>
              <w:jc w:val="center"/>
              <w:rPr>
                <w:b/>
                <w:szCs w:val="28"/>
              </w:rPr>
            </w:pPr>
            <w:r>
              <w:rPr>
                <w:b/>
                <w:szCs w:val="28"/>
              </w:rPr>
              <w:t>410632</w:t>
            </w:r>
          </w:p>
        </w:tc>
      </w:tr>
      <w:tr w:rsidR="006C1DF3" w:rsidRPr="003E354F" w:rsidTr="006C1DF3">
        <w:trPr>
          <w:gridAfter w:val="1"/>
          <w:wAfter w:w="661" w:type="dxa"/>
        </w:trPr>
        <w:tc>
          <w:tcPr>
            <w:tcW w:w="2694" w:type="dxa"/>
            <w:vAlign w:val="center"/>
          </w:tcPr>
          <w:p w:rsidR="008E3DFF" w:rsidRPr="003E354F" w:rsidRDefault="008E3DFF" w:rsidP="00B90FDB">
            <w:pPr>
              <w:spacing w:after="0" w:line="240" w:lineRule="auto"/>
              <w:jc w:val="center"/>
              <w:rPr>
                <w:szCs w:val="28"/>
              </w:rPr>
            </w:pPr>
            <w:r w:rsidRPr="003E354F">
              <w:rPr>
                <w:szCs w:val="28"/>
              </w:rPr>
              <w:t>рост к предыдущему году</w:t>
            </w:r>
          </w:p>
        </w:tc>
        <w:tc>
          <w:tcPr>
            <w:tcW w:w="1299" w:type="dxa"/>
            <w:vAlign w:val="center"/>
          </w:tcPr>
          <w:p w:rsidR="008E3DFF" w:rsidRPr="003E354F" w:rsidRDefault="008E3DFF" w:rsidP="00B90FDB">
            <w:pPr>
              <w:spacing w:after="0" w:line="240" w:lineRule="auto"/>
              <w:jc w:val="center"/>
              <w:rPr>
                <w:szCs w:val="28"/>
              </w:rPr>
            </w:pPr>
            <w:r>
              <w:rPr>
                <w:szCs w:val="28"/>
              </w:rPr>
              <w:t>108,9</w:t>
            </w:r>
          </w:p>
        </w:tc>
        <w:tc>
          <w:tcPr>
            <w:tcW w:w="1299" w:type="dxa"/>
            <w:vAlign w:val="center"/>
          </w:tcPr>
          <w:p w:rsidR="008E3DFF" w:rsidRPr="003E354F" w:rsidRDefault="008E3DFF" w:rsidP="00B90FDB">
            <w:pPr>
              <w:spacing w:after="0" w:line="240" w:lineRule="auto"/>
              <w:jc w:val="center"/>
              <w:rPr>
                <w:szCs w:val="28"/>
              </w:rPr>
            </w:pPr>
            <w:r>
              <w:rPr>
                <w:szCs w:val="28"/>
              </w:rPr>
              <w:t>104,5</w:t>
            </w:r>
          </w:p>
        </w:tc>
        <w:tc>
          <w:tcPr>
            <w:tcW w:w="1300" w:type="dxa"/>
            <w:vAlign w:val="center"/>
          </w:tcPr>
          <w:p w:rsidR="008E3DFF" w:rsidRPr="004100B4" w:rsidRDefault="008E3DFF" w:rsidP="00B90FDB">
            <w:pPr>
              <w:spacing w:after="0" w:line="240" w:lineRule="auto"/>
              <w:jc w:val="center"/>
              <w:rPr>
                <w:szCs w:val="28"/>
              </w:rPr>
            </w:pPr>
            <w:r w:rsidRPr="004100B4">
              <w:rPr>
                <w:szCs w:val="28"/>
              </w:rPr>
              <w:t>108,6</w:t>
            </w:r>
          </w:p>
        </w:tc>
        <w:tc>
          <w:tcPr>
            <w:tcW w:w="1299" w:type="dxa"/>
            <w:vAlign w:val="center"/>
          </w:tcPr>
          <w:p w:rsidR="008E3DFF" w:rsidRPr="00E546B9" w:rsidRDefault="008E3DFF" w:rsidP="00B90FDB">
            <w:pPr>
              <w:spacing w:after="0" w:line="240" w:lineRule="auto"/>
              <w:jc w:val="center"/>
              <w:rPr>
                <w:szCs w:val="28"/>
                <w:highlight w:val="yellow"/>
              </w:rPr>
            </w:pPr>
            <w:r>
              <w:rPr>
                <w:szCs w:val="28"/>
              </w:rPr>
              <w:t>95,9</w:t>
            </w:r>
          </w:p>
        </w:tc>
        <w:tc>
          <w:tcPr>
            <w:tcW w:w="1299" w:type="dxa"/>
            <w:vAlign w:val="center"/>
          </w:tcPr>
          <w:p w:rsidR="008E3DFF" w:rsidRPr="00834EAA" w:rsidRDefault="008E3DFF" w:rsidP="00B90FDB">
            <w:pPr>
              <w:spacing w:after="0" w:line="240" w:lineRule="auto"/>
              <w:jc w:val="center"/>
              <w:rPr>
                <w:szCs w:val="28"/>
              </w:rPr>
            </w:pPr>
            <w:r>
              <w:rPr>
                <w:szCs w:val="28"/>
              </w:rPr>
              <w:t>108,4</w:t>
            </w:r>
          </w:p>
        </w:tc>
        <w:tc>
          <w:tcPr>
            <w:tcW w:w="1300" w:type="dxa"/>
            <w:vAlign w:val="center"/>
          </w:tcPr>
          <w:p w:rsidR="008E3DFF" w:rsidRPr="00834EAA" w:rsidRDefault="008E3DFF" w:rsidP="00B90FDB">
            <w:pPr>
              <w:spacing w:after="0" w:line="240" w:lineRule="auto"/>
              <w:jc w:val="center"/>
              <w:rPr>
                <w:szCs w:val="28"/>
              </w:rPr>
            </w:pPr>
            <w:r>
              <w:rPr>
                <w:szCs w:val="28"/>
              </w:rPr>
              <w:t>108,4</w:t>
            </w:r>
          </w:p>
        </w:tc>
      </w:tr>
      <w:tr w:rsidR="006C1DF3" w:rsidRPr="003E354F" w:rsidTr="006C1DF3">
        <w:trPr>
          <w:gridAfter w:val="1"/>
          <w:wAfter w:w="661" w:type="dxa"/>
        </w:trPr>
        <w:tc>
          <w:tcPr>
            <w:tcW w:w="2694" w:type="dxa"/>
            <w:vAlign w:val="center"/>
          </w:tcPr>
          <w:p w:rsidR="008E3DFF" w:rsidRPr="003E354F" w:rsidRDefault="008E3DFF" w:rsidP="00B90FDB">
            <w:pPr>
              <w:spacing w:after="0" w:line="240" w:lineRule="auto"/>
              <w:jc w:val="center"/>
              <w:rPr>
                <w:b/>
                <w:szCs w:val="28"/>
              </w:rPr>
            </w:pPr>
            <w:r w:rsidRPr="003E354F">
              <w:rPr>
                <w:b/>
                <w:szCs w:val="28"/>
              </w:rPr>
              <w:t>Удельный вес собственных доходов</w:t>
            </w:r>
          </w:p>
        </w:tc>
        <w:tc>
          <w:tcPr>
            <w:tcW w:w="1299" w:type="dxa"/>
            <w:vAlign w:val="center"/>
          </w:tcPr>
          <w:p w:rsidR="008E3DFF" w:rsidRPr="003E354F" w:rsidRDefault="008E3DFF" w:rsidP="00B90FDB">
            <w:pPr>
              <w:spacing w:after="0" w:line="240" w:lineRule="auto"/>
              <w:jc w:val="center"/>
              <w:rPr>
                <w:b/>
                <w:szCs w:val="28"/>
              </w:rPr>
            </w:pPr>
            <w:r>
              <w:rPr>
                <w:b/>
                <w:szCs w:val="28"/>
              </w:rPr>
              <w:t>28,7</w:t>
            </w:r>
          </w:p>
        </w:tc>
        <w:tc>
          <w:tcPr>
            <w:tcW w:w="1299" w:type="dxa"/>
            <w:vAlign w:val="center"/>
          </w:tcPr>
          <w:p w:rsidR="008E3DFF" w:rsidRPr="003E354F" w:rsidRDefault="008E3DFF" w:rsidP="00B90FDB">
            <w:pPr>
              <w:spacing w:after="0" w:line="240" w:lineRule="auto"/>
              <w:jc w:val="center"/>
              <w:rPr>
                <w:b/>
                <w:szCs w:val="28"/>
              </w:rPr>
            </w:pPr>
            <w:r>
              <w:rPr>
                <w:b/>
                <w:szCs w:val="28"/>
              </w:rPr>
              <w:t>35,0</w:t>
            </w:r>
          </w:p>
        </w:tc>
        <w:tc>
          <w:tcPr>
            <w:tcW w:w="1300" w:type="dxa"/>
            <w:vAlign w:val="center"/>
          </w:tcPr>
          <w:p w:rsidR="008E3DFF" w:rsidRPr="00E546B9" w:rsidRDefault="008E3DFF" w:rsidP="00B90FDB">
            <w:pPr>
              <w:spacing w:after="0" w:line="240" w:lineRule="auto"/>
              <w:jc w:val="center"/>
              <w:rPr>
                <w:b/>
                <w:szCs w:val="28"/>
                <w:highlight w:val="yellow"/>
              </w:rPr>
            </w:pPr>
            <w:r w:rsidRPr="004100B4">
              <w:rPr>
                <w:b/>
                <w:szCs w:val="28"/>
              </w:rPr>
              <w:t>35,7</w:t>
            </w:r>
          </w:p>
        </w:tc>
        <w:tc>
          <w:tcPr>
            <w:tcW w:w="1299" w:type="dxa"/>
            <w:vAlign w:val="center"/>
          </w:tcPr>
          <w:p w:rsidR="008E3DFF" w:rsidRPr="00E546B9" w:rsidRDefault="008E3DFF" w:rsidP="00B90FDB">
            <w:pPr>
              <w:spacing w:after="0" w:line="240" w:lineRule="auto"/>
              <w:jc w:val="center"/>
              <w:rPr>
                <w:b/>
                <w:szCs w:val="28"/>
                <w:highlight w:val="yellow"/>
              </w:rPr>
            </w:pPr>
            <w:r>
              <w:rPr>
                <w:b/>
                <w:szCs w:val="28"/>
              </w:rPr>
              <w:t>29,4</w:t>
            </w:r>
          </w:p>
        </w:tc>
        <w:tc>
          <w:tcPr>
            <w:tcW w:w="1299" w:type="dxa"/>
            <w:vAlign w:val="center"/>
          </w:tcPr>
          <w:p w:rsidR="008E3DFF" w:rsidRPr="00834EAA" w:rsidRDefault="008E3DFF" w:rsidP="00B90FDB">
            <w:pPr>
              <w:spacing w:after="0" w:line="240" w:lineRule="auto"/>
              <w:jc w:val="center"/>
              <w:rPr>
                <w:b/>
                <w:szCs w:val="28"/>
              </w:rPr>
            </w:pPr>
            <w:r>
              <w:rPr>
                <w:b/>
                <w:szCs w:val="28"/>
              </w:rPr>
              <w:t>31,0</w:t>
            </w:r>
          </w:p>
        </w:tc>
        <w:tc>
          <w:tcPr>
            <w:tcW w:w="1300" w:type="dxa"/>
            <w:vAlign w:val="center"/>
          </w:tcPr>
          <w:p w:rsidR="008E3DFF" w:rsidRPr="00834EAA" w:rsidRDefault="008E3DFF" w:rsidP="00B90FDB">
            <w:pPr>
              <w:spacing w:after="0" w:line="240" w:lineRule="auto"/>
              <w:jc w:val="center"/>
              <w:rPr>
                <w:b/>
                <w:szCs w:val="28"/>
              </w:rPr>
            </w:pPr>
            <w:r>
              <w:rPr>
                <w:b/>
                <w:szCs w:val="28"/>
              </w:rPr>
              <w:t>31,8</w:t>
            </w:r>
          </w:p>
        </w:tc>
      </w:tr>
      <w:tr w:rsidR="006C1DF3" w:rsidRPr="003E354F" w:rsidTr="006C1DF3">
        <w:trPr>
          <w:gridAfter w:val="1"/>
          <w:wAfter w:w="661" w:type="dxa"/>
        </w:trPr>
        <w:tc>
          <w:tcPr>
            <w:tcW w:w="2694" w:type="dxa"/>
          </w:tcPr>
          <w:p w:rsidR="008E3DFF" w:rsidRPr="003E354F" w:rsidRDefault="008E3DFF" w:rsidP="00B90FDB">
            <w:pPr>
              <w:spacing w:after="0" w:line="240" w:lineRule="auto"/>
              <w:jc w:val="center"/>
              <w:rPr>
                <w:szCs w:val="28"/>
              </w:rPr>
            </w:pPr>
            <w:r>
              <w:rPr>
                <w:szCs w:val="28"/>
              </w:rPr>
              <w:t>в</w:t>
            </w:r>
            <w:r w:rsidRPr="003E354F">
              <w:rPr>
                <w:szCs w:val="28"/>
              </w:rPr>
              <w:t xml:space="preserve"> т.ч.</w:t>
            </w:r>
          </w:p>
        </w:tc>
        <w:tc>
          <w:tcPr>
            <w:tcW w:w="1299" w:type="dxa"/>
          </w:tcPr>
          <w:p w:rsidR="008E3DFF" w:rsidRPr="003E354F" w:rsidRDefault="008E3DFF" w:rsidP="00B90FDB">
            <w:pPr>
              <w:spacing w:after="0" w:line="240" w:lineRule="auto"/>
              <w:jc w:val="center"/>
              <w:rPr>
                <w:szCs w:val="28"/>
              </w:rPr>
            </w:pPr>
          </w:p>
        </w:tc>
        <w:tc>
          <w:tcPr>
            <w:tcW w:w="1299" w:type="dxa"/>
          </w:tcPr>
          <w:p w:rsidR="008E3DFF" w:rsidRPr="003E354F" w:rsidRDefault="008E3DFF" w:rsidP="00B90FDB">
            <w:pPr>
              <w:spacing w:after="0" w:line="240" w:lineRule="auto"/>
              <w:jc w:val="center"/>
              <w:rPr>
                <w:szCs w:val="28"/>
              </w:rPr>
            </w:pPr>
          </w:p>
        </w:tc>
        <w:tc>
          <w:tcPr>
            <w:tcW w:w="1300" w:type="dxa"/>
          </w:tcPr>
          <w:p w:rsidR="008E3DFF" w:rsidRPr="00E546B9" w:rsidRDefault="008E3DFF" w:rsidP="00B90FDB">
            <w:pPr>
              <w:spacing w:after="0" w:line="240" w:lineRule="auto"/>
              <w:jc w:val="center"/>
              <w:rPr>
                <w:szCs w:val="28"/>
                <w:highlight w:val="yellow"/>
              </w:rPr>
            </w:pPr>
          </w:p>
        </w:tc>
        <w:tc>
          <w:tcPr>
            <w:tcW w:w="1299" w:type="dxa"/>
          </w:tcPr>
          <w:p w:rsidR="008E3DFF" w:rsidRPr="00E546B9" w:rsidRDefault="008E3DFF" w:rsidP="00B90FDB">
            <w:pPr>
              <w:spacing w:after="0" w:line="240" w:lineRule="auto"/>
              <w:jc w:val="center"/>
              <w:rPr>
                <w:szCs w:val="28"/>
                <w:highlight w:val="yellow"/>
              </w:rPr>
            </w:pPr>
          </w:p>
        </w:tc>
        <w:tc>
          <w:tcPr>
            <w:tcW w:w="1299" w:type="dxa"/>
          </w:tcPr>
          <w:p w:rsidR="008E3DFF" w:rsidRPr="00E546B9" w:rsidRDefault="008E3DFF" w:rsidP="00B90FDB">
            <w:pPr>
              <w:spacing w:after="0" w:line="240" w:lineRule="auto"/>
              <w:jc w:val="center"/>
              <w:rPr>
                <w:szCs w:val="28"/>
                <w:highlight w:val="yellow"/>
              </w:rPr>
            </w:pPr>
          </w:p>
        </w:tc>
        <w:tc>
          <w:tcPr>
            <w:tcW w:w="1300" w:type="dxa"/>
          </w:tcPr>
          <w:p w:rsidR="008E3DFF" w:rsidRPr="00E546B9" w:rsidRDefault="008E3DFF" w:rsidP="00B90FDB">
            <w:pPr>
              <w:spacing w:after="0" w:line="240" w:lineRule="auto"/>
              <w:jc w:val="center"/>
              <w:rPr>
                <w:szCs w:val="28"/>
                <w:highlight w:val="yellow"/>
              </w:rPr>
            </w:pPr>
          </w:p>
        </w:tc>
      </w:tr>
      <w:tr w:rsidR="006C1DF3" w:rsidRPr="003E354F" w:rsidTr="006C1DF3">
        <w:trPr>
          <w:gridAfter w:val="1"/>
          <w:wAfter w:w="661" w:type="dxa"/>
          <w:trHeight w:val="265"/>
        </w:trPr>
        <w:tc>
          <w:tcPr>
            <w:tcW w:w="2694" w:type="dxa"/>
          </w:tcPr>
          <w:p w:rsidR="008E3DFF" w:rsidRPr="003E354F" w:rsidRDefault="008E3DFF" w:rsidP="00B90FDB">
            <w:pPr>
              <w:spacing w:after="0" w:line="240" w:lineRule="auto"/>
              <w:jc w:val="center"/>
              <w:rPr>
                <w:b/>
                <w:szCs w:val="28"/>
              </w:rPr>
            </w:pPr>
            <w:r w:rsidRPr="003E354F">
              <w:rPr>
                <w:b/>
                <w:szCs w:val="28"/>
              </w:rPr>
              <w:t>Налоговые доходы</w:t>
            </w:r>
          </w:p>
        </w:tc>
        <w:tc>
          <w:tcPr>
            <w:tcW w:w="1299" w:type="dxa"/>
          </w:tcPr>
          <w:p w:rsidR="008E3DFF" w:rsidRPr="003E354F" w:rsidRDefault="008E3DFF" w:rsidP="00B90FDB">
            <w:pPr>
              <w:spacing w:after="0" w:line="240" w:lineRule="auto"/>
              <w:jc w:val="center"/>
              <w:rPr>
                <w:b/>
                <w:szCs w:val="28"/>
              </w:rPr>
            </w:pPr>
            <w:r>
              <w:rPr>
                <w:b/>
                <w:szCs w:val="28"/>
              </w:rPr>
              <w:t>261686,8</w:t>
            </w:r>
          </w:p>
        </w:tc>
        <w:tc>
          <w:tcPr>
            <w:tcW w:w="1299" w:type="dxa"/>
          </w:tcPr>
          <w:p w:rsidR="008E3DFF" w:rsidRPr="003E354F" w:rsidRDefault="008E3DFF" w:rsidP="00B90FDB">
            <w:pPr>
              <w:spacing w:after="0" w:line="240" w:lineRule="auto"/>
              <w:jc w:val="center"/>
              <w:rPr>
                <w:b/>
                <w:szCs w:val="28"/>
              </w:rPr>
            </w:pPr>
            <w:r>
              <w:rPr>
                <w:b/>
                <w:szCs w:val="28"/>
              </w:rPr>
              <w:t>302150,4</w:t>
            </w:r>
          </w:p>
        </w:tc>
        <w:tc>
          <w:tcPr>
            <w:tcW w:w="1300" w:type="dxa"/>
          </w:tcPr>
          <w:p w:rsidR="008E3DFF" w:rsidRPr="004100B4" w:rsidRDefault="008E3DFF" w:rsidP="00B90FDB">
            <w:pPr>
              <w:spacing w:after="0" w:line="240" w:lineRule="auto"/>
              <w:jc w:val="center"/>
              <w:rPr>
                <w:b/>
                <w:szCs w:val="28"/>
              </w:rPr>
            </w:pPr>
            <w:r w:rsidRPr="004100B4">
              <w:rPr>
                <w:b/>
                <w:szCs w:val="28"/>
              </w:rPr>
              <w:t>334403</w:t>
            </w:r>
          </w:p>
        </w:tc>
        <w:tc>
          <w:tcPr>
            <w:tcW w:w="1299" w:type="dxa"/>
          </w:tcPr>
          <w:p w:rsidR="008E3DFF" w:rsidRPr="00E546B9" w:rsidRDefault="008E3DFF" w:rsidP="00B90FDB">
            <w:pPr>
              <w:spacing w:after="0" w:line="240" w:lineRule="auto"/>
              <w:jc w:val="center"/>
              <w:rPr>
                <w:b/>
                <w:szCs w:val="28"/>
                <w:highlight w:val="yellow"/>
              </w:rPr>
            </w:pPr>
            <w:r w:rsidRPr="00442FB7">
              <w:rPr>
                <w:b/>
                <w:szCs w:val="28"/>
              </w:rPr>
              <w:t>317014</w:t>
            </w:r>
          </w:p>
        </w:tc>
        <w:tc>
          <w:tcPr>
            <w:tcW w:w="1299" w:type="dxa"/>
          </w:tcPr>
          <w:p w:rsidR="008E3DFF" w:rsidRPr="00834EAA" w:rsidRDefault="008E3DFF" w:rsidP="00B90FDB">
            <w:pPr>
              <w:spacing w:after="0" w:line="240" w:lineRule="auto"/>
              <w:jc w:val="center"/>
              <w:rPr>
                <w:b/>
                <w:szCs w:val="28"/>
              </w:rPr>
            </w:pPr>
            <w:r>
              <w:rPr>
                <w:b/>
                <w:szCs w:val="28"/>
              </w:rPr>
              <w:t>343280</w:t>
            </w:r>
          </w:p>
        </w:tc>
        <w:tc>
          <w:tcPr>
            <w:tcW w:w="1300" w:type="dxa"/>
          </w:tcPr>
          <w:p w:rsidR="008E3DFF" w:rsidRPr="00834EAA" w:rsidRDefault="008E3DFF" w:rsidP="00B90FDB">
            <w:pPr>
              <w:spacing w:after="0" w:line="240" w:lineRule="auto"/>
              <w:jc w:val="center"/>
              <w:rPr>
                <w:b/>
                <w:szCs w:val="28"/>
              </w:rPr>
            </w:pPr>
            <w:r>
              <w:rPr>
                <w:b/>
                <w:szCs w:val="28"/>
              </w:rPr>
              <w:t>372082</w:t>
            </w:r>
          </w:p>
        </w:tc>
      </w:tr>
      <w:tr w:rsidR="006C1DF3" w:rsidRPr="003E354F" w:rsidTr="006C1DF3">
        <w:trPr>
          <w:gridAfter w:val="1"/>
          <w:wAfter w:w="661" w:type="dxa"/>
        </w:trPr>
        <w:tc>
          <w:tcPr>
            <w:tcW w:w="2694" w:type="dxa"/>
            <w:vAlign w:val="center"/>
          </w:tcPr>
          <w:p w:rsidR="008E3DFF" w:rsidRPr="003E354F" w:rsidRDefault="008E3DFF" w:rsidP="00B90FDB">
            <w:pPr>
              <w:spacing w:after="0" w:line="240" w:lineRule="auto"/>
              <w:jc w:val="center"/>
              <w:rPr>
                <w:szCs w:val="28"/>
              </w:rPr>
            </w:pPr>
            <w:r w:rsidRPr="003E354F">
              <w:rPr>
                <w:szCs w:val="28"/>
              </w:rPr>
              <w:t>рост к предыдущему году</w:t>
            </w:r>
          </w:p>
        </w:tc>
        <w:tc>
          <w:tcPr>
            <w:tcW w:w="1299" w:type="dxa"/>
            <w:vAlign w:val="center"/>
          </w:tcPr>
          <w:p w:rsidR="008E3DFF" w:rsidRPr="003E354F" w:rsidRDefault="008E3DFF" w:rsidP="00B90FDB">
            <w:pPr>
              <w:spacing w:after="0" w:line="240" w:lineRule="auto"/>
              <w:jc w:val="center"/>
              <w:rPr>
                <w:szCs w:val="28"/>
              </w:rPr>
            </w:pPr>
            <w:r>
              <w:rPr>
                <w:szCs w:val="28"/>
              </w:rPr>
              <w:t>113,6</w:t>
            </w:r>
          </w:p>
        </w:tc>
        <w:tc>
          <w:tcPr>
            <w:tcW w:w="1299" w:type="dxa"/>
            <w:vAlign w:val="center"/>
          </w:tcPr>
          <w:p w:rsidR="008E3DFF" w:rsidRPr="003E354F" w:rsidRDefault="008E3DFF" w:rsidP="00B90FDB">
            <w:pPr>
              <w:spacing w:after="0" w:line="240" w:lineRule="auto"/>
              <w:jc w:val="center"/>
              <w:rPr>
                <w:szCs w:val="28"/>
              </w:rPr>
            </w:pPr>
            <w:r>
              <w:rPr>
                <w:szCs w:val="28"/>
              </w:rPr>
              <w:t>115,5</w:t>
            </w:r>
          </w:p>
        </w:tc>
        <w:tc>
          <w:tcPr>
            <w:tcW w:w="1300" w:type="dxa"/>
            <w:vAlign w:val="center"/>
          </w:tcPr>
          <w:p w:rsidR="008E3DFF" w:rsidRPr="004100B4" w:rsidRDefault="008E3DFF" w:rsidP="00B90FDB">
            <w:pPr>
              <w:spacing w:after="0" w:line="240" w:lineRule="auto"/>
              <w:jc w:val="center"/>
              <w:rPr>
                <w:szCs w:val="28"/>
              </w:rPr>
            </w:pPr>
            <w:r w:rsidRPr="004100B4">
              <w:rPr>
                <w:szCs w:val="28"/>
              </w:rPr>
              <w:t>110,7</w:t>
            </w:r>
          </w:p>
        </w:tc>
        <w:tc>
          <w:tcPr>
            <w:tcW w:w="1299" w:type="dxa"/>
            <w:vAlign w:val="center"/>
          </w:tcPr>
          <w:p w:rsidR="008E3DFF" w:rsidRPr="004100B4" w:rsidRDefault="008E3DFF" w:rsidP="00B90FDB">
            <w:pPr>
              <w:spacing w:after="0" w:line="240" w:lineRule="auto"/>
              <w:jc w:val="center"/>
              <w:rPr>
                <w:szCs w:val="28"/>
              </w:rPr>
            </w:pPr>
            <w:r>
              <w:rPr>
                <w:szCs w:val="28"/>
              </w:rPr>
              <w:t>94,8</w:t>
            </w:r>
          </w:p>
        </w:tc>
        <w:tc>
          <w:tcPr>
            <w:tcW w:w="1299" w:type="dxa"/>
            <w:vAlign w:val="center"/>
          </w:tcPr>
          <w:p w:rsidR="008E3DFF" w:rsidRPr="00834EAA" w:rsidRDefault="008E3DFF" w:rsidP="00B90FDB">
            <w:pPr>
              <w:spacing w:after="0" w:line="240" w:lineRule="auto"/>
              <w:jc w:val="center"/>
              <w:rPr>
                <w:szCs w:val="28"/>
              </w:rPr>
            </w:pPr>
            <w:r>
              <w:rPr>
                <w:szCs w:val="28"/>
              </w:rPr>
              <w:t>108,3</w:t>
            </w:r>
          </w:p>
        </w:tc>
        <w:tc>
          <w:tcPr>
            <w:tcW w:w="1300" w:type="dxa"/>
            <w:vAlign w:val="center"/>
          </w:tcPr>
          <w:p w:rsidR="008E3DFF" w:rsidRPr="00834EAA" w:rsidRDefault="008E3DFF" w:rsidP="00B90FDB">
            <w:pPr>
              <w:spacing w:after="0" w:line="240" w:lineRule="auto"/>
              <w:jc w:val="center"/>
              <w:rPr>
                <w:szCs w:val="28"/>
              </w:rPr>
            </w:pPr>
            <w:r>
              <w:rPr>
                <w:szCs w:val="28"/>
              </w:rPr>
              <w:t>108,4</w:t>
            </w:r>
          </w:p>
        </w:tc>
      </w:tr>
      <w:tr w:rsidR="006C1DF3" w:rsidRPr="003E354F" w:rsidTr="006C1DF3">
        <w:trPr>
          <w:gridAfter w:val="1"/>
          <w:wAfter w:w="661" w:type="dxa"/>
        </w:trPr>
        <w:tc>
          <w:tcPr>
            <w:tcW w:w="2694" w:type="dxa"/>
          </w:tcPr>
          <w:p w:rsidR="008E3DFF" w:rsidRPr="003E354F" w:rsidRDefault="008E3DFF" w:rsidP="00B90FDB">
            <w:pPr>
              <w:spacing w:after="0" w:line="240" w:lineRule="auto"/>
              <w:jc w:val="center"/>
              <w:rPr>
                <w:b/>
                <w:szCs w:val="28"/>
              </w:rPr>
            </w:pPr>
            <w:r w:rsidRPr="003E354F">
              <w:rPr>
                <w:b/>
                <w:szCs w:val="28"/>
              </w:rPr>
              <w:t>Неналоговые доходы</w:t>
            </w:r>
          </w:p>
        </w:tc>
        <w:tc>
          <w:tcPr>
            <w:tcW w:w="1299" w:type="dxa"/>
          </w:tcPr>
          <w:p w:rsidR="008E3DFF" w:rsidRPr="003E354F" w:rsidRDefault="008E3DFF" w:rsidP="00B90FDB">
            <w:pPr>
              <w:spacing w:after="0" w:line="240" w:lineRule="auto"/>
              <w:jc w:val="center"/>
              <w:rPr>
                <w:b/>
                <w:szCs w:val="28"/>
              </w:rPr>
            </w:pPr>
            <w:r>
              <w:rPr>
                <w:b/>
                <w:szCs w:val="28"/>
              </w:rPr>
              <w:t>59480,3</w:t>
            </w:r>
          </w:p>
        </w:tc>
        <w:tc>
          <w:tcPr>
            <w:tcW w:w="1299" w:type="dxa"/>
          </w:tcPr>
          <w:p w:rsidR="008E3DFF" w:rsidRPr="003E354F" w:rsidRDefault="008E3DFF" w:rsidP="00B90FDB">
            <w:pPr>
              <w:spacing w:after="0" w:line="240" w:lineRule="auto"/>
              <w:jc w:val="center"/>
              <w:rPr>
                <w:b/>
                <w:szCs w:val="28"/>
              </w:rPr>
            </w:pPr>
            <w:r>
              <w:rPr>
                <w:b/>
                <w:szCs w:val="28"/>
              </w:rPr>
              <w:t>33479,3</w:t>
            </w:r>
          </w:p>
        </w:tc>
        <w:tc>
          <w:tcPr>
            <w:tcW w:w="1300" w:type="dxa"/>
          </w:tcPr>
          <w:p w:rsidR="008E3DFF" w:rsidRPr="004100B4" w:rsidRDefault="008E3DFF" w:rsidP="00B90FDB">
            <w:pPr>
              <w:spacing w:after="0" w:line="240" w:lineRule="auto"/>
              <w:jc w:val="center"/>
              <w:rPr>
                <w:b/>
                <w:szCs w:val="28"/>
              </w:rPr>
            </w:pPr>
            <w:r w:rsidRPr="004100B4">
              <w:rPr>
                <w:b/>
                <w:szCs w:val="28"/>
              </w:rPr>
              <w:t>30000</w:t>
            </w:r>
          </w:p>
        </w:tc>
        <w:tc>
          <w:tcPr>
            <w:tcW w:w="1299" w:type="dxa"/>
          </w:tcPr>
          <w:p w:rsidR="008E3DFF" w:rsidRPr="004100B4" w:rsidRDefault="008E3DFF" w:rsidP="00B90FDB">
            <w:pPr>
              <w:spacing w:after="0" w:line="240" w:lineRule="auto"/>
              <w:jc w:val="center"/>
              <w:rPr>
                <w:b/>
                <w:szCs w:val="28"/>
              </w:rPr>
            </w:pPr>
            <w:r w:rsidRPr="004100B4">
              <w:rPr>
                <w:b/>
                <w:szCs w:val="28"/>
              </w:rPr>
              <w:t>32300</w:t>
            </w:r>
          </w:p>
        </w:tc>
        <w:tc>
          <w:tcPr>
            <w:tcW w:w="1299" w:type="dxa"/>
          </w:tcPr>
          <w:p w:rsidR="008E3DFF" w:rsidRPr="00834EAA" w:rsidRDefault="008E3DFF" w:rsidP="00B90FDB">
            <w:pPr>
              <w:spacing w:after="0" w:line="240" w:lineRule="auto"/>
              <w:jc w:val="center"/>
              <w:rPr>
                <w:b/>
                <w:szCs w:val="28"/>
              </w:rPr>
            </w:pPr>
            <w:r>
              <w:rPr>
                <w:b/>
                <w:szCs w:val="28"/>
              </w:rPr>
              <w:t>3555</w:t>
            </w:r>
            <w:r w:rsidRPr="00834EAA">
              <w:rPr>
                <w:b/>
                <w:szCs w:val="28"/>
              </w:rPr>
              <w:t>0</w:t>
            </w:r>
          </w:p>
        </w:tc>
        <w:tc>
          <w:tcPr>
            <w:tcW w:w="1300" w:type="dxa"/>
          </w:tcPr>
          <w:p w:rsidR="008E3DFF" w:rsidRPr="00834EAA" w:rsidRDefault="008E3DFF" w:rsidP="00B90FDB">
            <w:pPr>
              <w:spacing w:after="0" w:line="240" w:lineRule="auto"/>
              <w:jc w:val="center"/>
              <w:rPr>
                <w:b/>
                <w:szCs w:val="28"/>
              </w:rPr>
            </w:pPr>
            <w:r>
              <w:rPr>
                <w:b/>
                <w:szCs w:val="28"/>
              </w:rPr>
              <w:t>38550</w:t>
            </w:r>
          </w:p>
        </w:tc>
      </w:tr>
      <w:tr w:rsidR="006C1DF3" w:rsidRPr="003E354F" w:rsidTr="006C1DF3">
        <w:trPr>
          <w:gridAfter w:val="1"/>
          <w:wAfter w:w="661" w:type="dxa"/>
        </w:trPr>
        <w:tc>
          <w:tcPr>
            <w:tcW w:w="2694" w:type="dxa"/>
            <w:vAlign w:val="center"/>
          </w:tcPr>
          <w:p w:rsidR="008E3DFF" w:rsidRPr="003E354F" w:rsidRDefault="008E3DFF" w:rsidP="00B90FDB">
            <w:pPr>
              <w:spacing w:after="0" w:line="240" w:lineRule="auto"/>
              <w:jc w:val="center"/>
              <w:rPr>
                <w:szCs w:val="28"/>
              </w:rPr>
            </w:pPr>
            <w:r w:rsidRPr="003E354F">
              <w:rPr>
                <w:szCs w:val="28"/>
              </w:rPr>
              <w:t>рост к предыдущему году</w:t>
            </w:r>
          </w:p>
        </w:tc>
        <w:tc>
          <w:tcPr>
            <w:tcW w:w="1299" w:type="dxa"/>
            <w:vAlign w:val="center"/>
          </w:tcPr>
          <w:p w:rsidR="008E3DFF" w:rsidRPr="003E354F" w:rsidRDefault="008E3DFF" w:rsidP="00B90FDB">
            <w:pPr>
              <w:spacing w:after="0" w:line="240" w:lineRule="auto"/>
              <w:jc w:val="center"/>
              <w:rPr>
                <w:szCs w:val="28"/>
              </w:rPr>
            </w:pPr>
            <w:r>
              <w:rPr>
                <w:szCs w:val="28"/>
              </w:rPr>
              <w:t>91,4</w:t>
            </w:r>
          </w:p>
        </w:tc>
        <w:tc>
          <w:tcPr>
            <w:tcW w:w="1299" w:type="dxa"/>
            <w:vAlign w:val="center"/>
          </w:tcPr>
          <w:p w:rsidR="008E3DFF" w:rsidRPr="003E354F" w:rsidRDefault="008E3DFF" w:rsidP="00B90FDB">
            <w:pPr>
              <w:spacing w:after="0" w:line="240" w:lineRule="auto"/>
              <w:jc w:val="center"/>
              <w:rPr>
                <w:szCs w:val="28"/>
              </w:rPr>
            </w:pPr>
            <w:r>
              <w:rPr>
                <w:szCs w:val="28"/>
              </w:rPr>
              <w:t>56,3</w:t>
            </w:r>
          </w:p>
        </w:tc>
        <w:tc>
          <w:tcPr>
            <w:tcW w:w="1300" w:type="dxa"/>
            <w:vAlign w:val="center"/>
          </w:tcPr>
          <w:p w:rsidR="008E3DFF" w:rsidRPr="004100B4" w:rsidRDefault="008E3DFF" w:rsidP="00B90FDB">
            <w:pPr>
              <w:spacing w:after="0" w:line="240" w:lineRule="auto"/>
              <w:jc w:val="center"/>
              <w:rPr>
                <w:szCs w:val="28"/>
              </w:rPr>
            </w:pPr>
            <w:r w:rsidRPr="004100B4">
              <w:rPr>
                <w:szCs w:val="28"/>
              </w:rPr>
              <w:t>89,6</w:t>
            </w:r>
          </w:p>
        </w:tc>
        <w:tc>
          <w:tcPr>
            <w:tcW w:w="1299" w:type="dxa"/>
            <w:vAlign w:val="center"/>
          </w:tcPr>
          <w:p w:rsidR="008E3DFF" w:rsidRPr="004100B4" w:rsidRDefault="008E3DFF" w:rsidP="00B90FDB">
            <w:pPr>
              <w:spacing w:after="0" w:line="240" w:lineRule="auto"/>
              <w:jc w:val="center"/>
              <w:rPr>
                <w:szCs w:val="28"/>
              </w:rPr>
            </w:pPr>
            <w:r w:rsidRPr="004100B4">
              <w:rPr>
                <w:szCs w:val="28"/>
              </w:rPr>
              <w:t>107,7</w:t>
            </w:r>
          </w:p>
        </w:tc>
        <w:tc>
          <w:tcPr>
            <w:tcW w:w="1299" w:type="dxa"/>
            <w:vAlign w:val="center"/>
          </w:tcPr>
          <w:p w:rsidR="008E3DFF" w:rsidRPr="00834EAA" w:rsidRDefault="008E3DFF" w:rsidP="00B90FDB">
            <w:pPr>
              <w:spacing w:after="0" w:line="240" w:lineRule="auto"/>
              <w:jc w:val="center"/>
              <w:rPr>
                <w:szCs w:val="28"/>
              </w:rPr>
            </w:pPr>
            <w:r>
              <w:rPr>
                <w:szCs w:val="28"/>
              </w:rPr>
              <w:t>110,1</w:t>
            </w:r>
          </w:p>
        </w:tc>
        <w:tc>
          <w:tcPr>
            <w:tcW w:w="1300" w:type="dxa"/>
            <w:vAlign w:val="center"/>
          </w:tcPr>
          <w:p w:rsidR="008E3DFF" w:rsidRPr="00834EAA" w:rsidRDefault="008E3DFF" w:rsidP="00B90FDB">
            <w:pPr>
              <w:spacing w:after="0" w:line="240" w:lineRule="auto"/>
              <w:jc w:val="center"/>
              <w:rPr>
                <w:szCs w:val="28"/>
              </w:rPr>
            </w:pPr>
            <w:r>
              <w:rPr>
                <w:szCs w:val="28"/>
              </w:rPr>
              <w:t>108,4</w:t>
            </w:r>
          </w:p>
        </w:tc>
      </w:tr>
    </w:tbl>
    <w:p w:rsidR="00154788" w:rsidRPr="00B90FDB" w:rsidRDefault="00B90FDB" w:rsidP="0060738C">
      <w:pPr>
        <w:pStyle w:val="2"/>
        <w:ind w:firstLine="709"/>
        <w:rPr>
          <w:rFonts w:ascii="Times New Roman" w:hAnsi="Times New Roman"/>
          <w:bCs/>
          <w:sz w:val="28"/>
          <w:szCs w:val="28"/>
        </w:rPr>
      </w:pPr>
      <w:r w:rsidRPr="00B90FDB">
        <w:rPr>
          <w:rFonts w:ascii="Times New Roman" w:hAnsi="Times New Roman"/>
          <w:bCs/>
          <w:sz w:val="28"/>
          <w:szCs w:val="28"/>
        </w:rPr>
        <w:t>Снижение собственных доходов в 2014 году относительно 2013 года связано с тем, что с 1 января 2014 года отчисления в местный бюджет от налога на доходы физических лиц будет составлять 30 %, а не 40 % как было ранее.</w:t>
      </w:r>
    </w:p>
    <w:p w:rsidR="00C52519" w:rsidRPr="00236469" w:rsidRDefault="00AB46BB" w:rsidP="0060738C">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9</w:t>
      </w:r>
      <w:r w:rsidR="00C52519" w:rsidRPr="00B300EE">
        <w:rPr>
          <w:rFonts w:ascii="Times New Roman" w:hAnsi="Times New Roman" w:cs="Times New Roman"/>
          <w:b/>
          <w:sz w:val="28"/>
          <w:szCs w:val="28"/>
        </w:rPr>
        <w:t>.</w:t>
      </w:r>
      <w:r w:rsidR="006C1DF3">
        <w:rPr>
          <w:rFonts w:ascii="Times New Roman" w:hAnsi="Times New Roman" w:cs="Times New Roman"/>
          <w:b/>
          <w:sz w:val="28"/>
          <w:szCs w:val="28"/>
        </w:rPr>
        <w:t xml:space="preserve"> </w:t>
      </w:r>
      <w:r w:rsidR="00C52519" w:rsidRPr="00B300EE">
        <w:rPr>
          <w:rFonts w:ascii="Times New Roman" w:hAnsi="Times New Roman" w:cs="Times New Roman"/>
          <w:sz w:val="28"/>
          <w:szCs w:val="28"/>
        </w:rPr>
        <w:t>Жилищно-коммунальное хозяйство города Каспийска представляет собой сложную в инженерном отношении и разнообразную по видам услуг отрасль жизнеобеспечения города. В системе жилищного хозяйства функционируют более 50 предприятий и организаций.  Этими</w:t>
      </w:r>
      <w:r w:rsidR="00C52519" w:rsidRPr="00236469">
        <w:rPr>
          <w:rFonts w:ascii="Times New Roman" w:hAnsi="Times New Roman" w:cs="Times New Roman"/>
          <w:sz w:val="28"/>
          <w:szCs w:val="28"/>
        </w:rPr>
        <w:t xml:space="preserve"> предприятиями и организациями обслуживаются </w:t>
      </w:r>
      <w:r w:rsidR="00154788">
        <w:rPr>
          <w:rFonts w:ascii="Times New Roman" w:hAnsi="Times New Roman" w:cs="Times New Roman"/>
          <w:sz w:val="28"/>
          <w:szCs w:val="28"/>
        </w:rPr>
        <w:t>1609,2</w:t>
      </w:r>
      <w:r w:rsidR="00C52519" w:rsidRPr="00236469">
        <w:rPr>
          <w:rFonts w:ascii="Times New Roman" w:hAnsi="Times New Roman" w:cs="Times New Roman"/>
          <w:sz w:val="28"/>
          <w:szCs w:val="28"/>
        </w:rPr>
        <w:t xml:space="preserve"> тыс. кв. м. общей площади жилых помещений. Кроме того, обслуживаемые площади из года в год увеличиваются также за счет ввода нового жилья в эксплуатацию. </w:t>
      </w:r>
    </w:p>
    <w:p w:rsidR="00C52519" w:rsidRPr="00236469" w:rsidRDefault="00C52519" w:rsidP="0060738C">
      <w:pPr>
        <w:pStyle w:val="ConsPlusNormal"/>
        <w:widowControl/>
        <w:ind w:firstLine="709"/>
        <w:jc w:val="both"/>
        <w:rPr>
          <w:rFonts w:ascii="Times New Roman" w:hAnsi="Times New Roman" w:cs="Times New Roman"/>
          <w:sz w:val="28"/>
          <w:szCs w:val="28"/>
        </w:rPr>
      </w:pPr>
      <w:r w:rsidRPr="00236469">
        <w:rPr>
          <w:rFonts w:ascii="Times New Roman" w:hAnsi="Times New Roman" w:cs="Times New Roman"/>
          <w:sz w:val="28"/>
          <w:szCs w:val="28"/>
        </w:rPr>
        <w:t xml:space="preserve">Основным направлением деятельности жилищных предприятий являлось повышение качества и своевременное предоставление услуг, реализация мероприятий по капитальному и текущему ремонту жилищного фонда и оборудования, модернизации хозяйства. </w:t>
      </w:r>
    </w:p>
    <w:p w:rsidR="00C52519" w:rsidRPr="00236469" w:rsidRDefault="00C52519" w:rsidP="0060738C">
      <w:pPr>
        <w:pStyle w:val="ConsPlusNormal"/>
        <w:widowControl/>
        <w:ind w:firstLine="709"/>
        <w:jc w:val="both"/>
        <w:rPr>
          <w:rFonts w:ascii="Times New Roman" w:hAnsi="Times New Roman" w:cs="Times New Roman"/>
          <w:sz w:val="28"/>
          <w:szCs w:val="28"/>
        </w:rPr>
      </w:pPr>
      <w:r w:rsidRPr="00236469">
        <w:rPr>
          <w:rFonts w:ascii="Times New Roman" w:hAnsi="Times New Roman" w:cs="Times New Roman"/>
          <w:sz w:val="28"/>
          <w:szCs w:val="28"/>
        </w:rPr>
        <w:t xml:space="preserve">Источниками финансирования расходов по предоставлению жилищно-коммунальных услуг являются платежи населения, средства городского, </w:t>
      </w:r>
      <w:r w:rsidR="00154788">
        <w:rPr>
          <w:rFonts w:ascii="Times New Roman" w:hAnsi="Times New Roman" w:cs="Times New Roman"/>
          <w:sz w:val="28"/>
          <w:szCs w:val="28"/>
        </w:rPr>
        <w:t xml:space="preserve"> республиканского и федеральных бюджетов.</w:t>
      </w:r>
      <w:r w:rsidR="006C1DF3">
        <w:rPr>
          <w:rFonts w:ascii="Times New Roman" w:hAnsi="Times New Roman" w:cs="Times New Roman"/>
          <w:sz w:val="28"/>
          <w:szCs w:val="28"/>
        </w:rPr>
        <w:t xml:space="preserve"> В </w:t>
      </w:r>
      <w:r w:rsidR="00154788">
        <w:rPr>
          <w:rFonts w:ascii="Times New Roman" w:hAnsi="Times New Roman" w:cs="Times New Roman"/>
          <w:sz w:val="28"/>
          <w:szCs w:val="28"/>
        </w:rPr>
        <w:t xml:space="preserve"> 2012 году на строительство жилья молодым выделено из </w:t>
      </w:r>
      <w:r w:rsidR="00AB46BB">
        <w:rPr>
          <w:rFonts w:ascii="Times New Roman" w:hAnsi="Times New Roman" w:cs="Times New Roman"/>
          <w:sz w:val="28"/>
          <w:szCs w:val="28"/>
        </w:rPr>
        <w:t>местного бюджета 27 млн. рублей, в 2013 году – 30 млн. рублей.</w:t>
      </w:r>
    </w:p>
    <w:p w:rsidR="000C4380" w:rsidRPr="00236469" w:rsidRDefault="00AB46BB" w:rsidP="0060738C">
      <w:pPr>
        <w:pStyle w:val="newncpi"/>
        <w:spacing w:before="0" w:beforeAutospacing="0" w:after="0" w:afterAutospacing="0"/>
        <w:ind w:firstLine="709"/>
        <w:jc w:val="both"/>
        <w:rPr>
          <w:sz w:val="28"/>
          <w:szCs w:val="28"/>
        </w:rPr>
      </w:pPr>
      <w:r>
        <w:rPr>
          <w:b/>
          <w:sz w:val="28"/>
          <w:szCs w:val="28"/>
        </w:rPr>
        <w:t>10</w:t>
      </w:r>
      <w:r w:rsidR="00C52519" w:rsidRPr="00236469">
        <w:rPr>
          <w:b/>
          <w:sz w:val="28"/>
          <w:szCs w:val="28"/>
        </w:rPr>
        <w:t>.</w:t>
      </w:r>
      <w:r w:rsidR="000C4380" w:rsidRPr="00236469">
        <w:rPr>
          <w:sz w:val="28"/>
          <w:szCs w:val="28"/>
        </w:rPr>
        <w:t xml:space="preserve"> Главными  целями </w:t>
      </w:r>
      <w:r w:rsidR="000C4380" w:rsidRPr="00236469">
        <w:rPr>
          <w:i/>
          <w:iCs/>
          <w:sz w:val="28"/>
          <w:szCs w:val="28"/>
        </w:rPr>
        <w:t xml:space="preserve"> </w:t>
      </w:r>
      <w:r w:rsidR="000C4380" w:rsidRPr="00236469">
        <w:rPr>
          <w:iCs/>
          <w:sz w:val="28"/>
          <w:szCs w:val="28"/>
        </w:rPr>
        <w:t>мероприятий  в области   доходов</w:t>
      </w:r>
      <w:r w:rsidR="000C4380" w:rsidRPr="00236469">
        <w:rPr>
          <w:i/>
          <w:iCs/>
          <w:sz w:val="28"/>
          <w:szCs w:val="28"/>
        </w:rPr>
        <w:t xml:space="preserve"> </w:t>
      </w:r>
      <w:r w:rsidR="000C4380" w:rsidRPr="00236469">
        <w:rPr>
          <w:sz w:val="28"/>
          <w:szCs w:val="28"/>
        </w:rPr>
        <w:t xml:space="preserve"> являются  рост реального уровня  всех  видов денежных доходов населения и обеспечение эффективной поддержки социально уязвимых категорий граждан.</w:t>
      </w:r>
    </w:p>
    <w:p w:rsidR="000C4380" w:rsidRPr="00236469" w:rsidRDefault="000C4380" w:rsidP="0060738C">
      <w:pPr>
        <w:pStyle w:val="newncpi"/>
        <w:spacing w:before="0" w:beforeAutospacing="0" w:after="0" w:afterAutospacing="0"/>
        <w:ind w:firstLine="709"/>
        <w:jc w:val="both"/>
        <w:rPr>
          <w:sz w:val="28"/>
          <w:szCs w:val="28"/>
        </w:rPr>
      </w:pPr>
      <w:r w:rsidRPr="00236469">
        <w:rPr>
          <w:sz w:val="28"/>
          <w:szCs w:val="28"/>
        </w:rPr>
        <w:t>В этой связи первоочередными задачами являются:</w:t>
      </w:r>
    </w:p>
    <w:p w:rsidR="000C4380" w:rsidRPr="00236469" w:rsidRDefault="000C4380" w:rsidP="0060738C">
      <w:pPr>
        <w:pStyle w:val="newncpi"/>
        <w:spacing w:before="0" w:beforeAutospacing="0" w:after="0" w:afterAutospacing="0"/>
        <w:ind w:firstLine="709"/>
        <w:jc w:val="both"/>
        <w:rPr>
          <w:sz w:val="28"/>
          <w:szCs w:val="28"/>
        </w:rPr>
      </w:pPr>
      <w:r w:rsidRPr="00236469">
        <w:rPr>
          <w:sz w:val="28"/>
          <w:szCs w:val="28"/>
        </w:rPr>
        <w:t>- повышение уровня реальных располагаемых денежных доходов населения, в том числе реальной заработной платы как основного источника их формирования и важного стимула активизации трудовой деятельности;</w:t>
      </w:r>
    </w:p>
    <w:p w:rsidR="000C4380" w:rsidRPr="00236469" w:rsidRDefault="000C4380" w:rsidP="0060738C">
      <w:pPr>
        <w:pStyle w:val="newncpi"/>
        <w:spacing w:before="0" w:beforeAutospacing="0" w:after="0" w:afterAutospacing="0"/>
        <w:ind w:firstLine="709"/>
        <w:jc w:val="both"/>
        <w:rPr>
          <w:sz w:val="28"/>
          <w:szCs w:val="28"/>
        </w:rPr>
      </w:pPr>
      <w:r w:rsidRPr="00236469">
        <w:rPr>
          <w:sz w:val="28"/>
          <w:szCs w:val="28"/>
        </w:rPr>
        <w:t>- дальнейшее развитие и оптимизацию адресной социальной помощи.</w:t>
      </w:r>
    </w:p>
    <w:p w:rsidR="00154788" w:rsidRPr="006C1DF3" w:rsidRDefault="000C4380" w:rsidP="0060738C">
      <w:pPr>
        <w:pStyle w:val="a5"/>
        <w:ind w:firstLine="709"/>
        <w:jc w:val="both"/>
        <w:rPr>
          <w:rStyle w:val="FontStyle11"/>
          <w:b w:val="0"/>
          <w:sz w:val="28"/>
          <w:szCs w:val="28"/>
        </w:rPr>
      </w:pPr>
      <w:r w:rsidRPr="006C1DF3">
        <w:rPr>
          <w:rFonts w:ascii="Times New Roman" w:hAnsi="Times New Roman" w:cs="Times New Roman"/>
          <w:sz w:val="28"/>
          <w:szCs w:val="28"/>
        </w:rPr>
        <w:lastRenderedPageBreak/>
        <w:t>Среднемесячная нач</w:t>
      </w:r>
      <w:r w:rsidR="00154788" w:rsidRPr="006C1DF3">
        <w:rPr>
          <w:rFonts w:ascii="Times New Roman" w:hAnsi="Times New Roman" w:cs="Times New Roman"/>
          <w:sz w:val="28"/>
          <w:szCs w:val="28"/>
        </w:rPr>
        <w:t>исленная заработная плата в 2012</w:t>
      </w:r>
      <w:r w:rsidRPr="006C1DF3">
        <w:rPr>
          <w:rFonts w:ascii="Times New Roman" w:hAnsi="Times New Roman" w:cs="Times New Roman"/>
          <w:sz w:val="28"/>
          <w:szCs w:val="28"/>
        </w:rPr>
        <w:t xml:space="preserve"> году составила </w:t>
      </w:r>
      <w:r w:rsidR="00154788" w:rsidRPr="006C1DF3">
        <w:rPr>
          <w:rFonts w:ascii="Times New Roman" w:hAnsi="Times New Roman" w:cs="Times New Roman"/>
          <w:sz w:val="28"/>
          <w:szCs w:val="28"/>
        </w:rPr>
        <w:t>14743,4</w:t>
      </w:r>
      <w:r w:rsidRPr="006C1DF3">
        <w:rPr>
          <w:rFonts w:ascii="Times New Roman" w:hAnsi="Times New Roman" w:cs="Times New Roman"/>
          <w:sz w:val="28"/>
          <w:szCs w:val="28"/>
        </w:rPr>
        <w:t xml:space="preserve"> рубля, увеличившись на </w:t>
      </w:r>
      <w:r w:rsidR="00154788" w:rsidRPr="006C1DF3">
        <w:rPr>
          <w:rFonts w:ascii="Times New Roman" w:hAnsi="Times New Roman" w:cs="Times New Roman"/>
          <w:sz w:val="28"/>
          <w:szCs w:val="28"/>
        </w:rPr>
        <w:t>17,8 % по сравнению с 2011</w:t>
      </w:r>
      <w:r w:rsidRPr="006C1DF3">
        <w:rPr>
          <w:rFonts w:ascii="Times New Roman" w:hAnsi="Times New Roman" w:cs="Times New Roman"/>
          <w:sz w:val="28"/>
          <w:szCs w:val="28"/>
        </w:rPr>
        <w:t xml:space="preserve"> годом. </w:t>
      </w:r>
      <w:r w:rsidR="00154788" w:rsidRPr="006C1DF3">
        <w:rPr>
          <w:rStyle w:val="FontStyle11"/>
          <w:b w:val="0"/>
          <w:sz w:val="28"/>
          <w:szCs w:val="28"/>
        </w:rPr>
        <w:t>На таких крупных предприятиях, как «Завод Дагдизель» и «Завод точной механики» среднемесячная заработная плата равна 12787 рублей и 10699 рублей соответственно.</w:t>
      </w:r>
    </w:p>
    <w:p w:rsidR="00154788" w:rsidRPr="00594882" w:rsidRDefault="00594882" w:rsidP="00594882">
      <w:pPr>
        <w:pStyle w:val="a5"/>
        <w:jc w:val="both"/>
        <w:rPr>
          <w:rFonts w:ascii="Times New Roman" w:hAnsi="Times New Roman" w:cs="Times New Roman"/>
          <w:sz w:val="28"/>
          <w:szCs w:val="28"/>
        </w:rPr>
      </w:pPr>
      <w:r>
        <w:rPr>
          <w:rStyle w:val="FontStyle11"/>
          <w:b w:val="0"/>
          <w:bCs w:val="0"/>
          <w:spacing w:val="0"/>
          <w:sz w:val="28"/>
          <w:szCs w:val="28"/>
        </w:rPr>
        <w:t xml:space="preserve">        </w:t>
      </w:r>
      <w:r w:rsidR="00154788" w:rsidRPr="00594882">
        <w:rPr>
          <w:rStyle w:val="FontStyle11"/>
          <w:b w:val="0"/>
          <w:bCs w:val="0"/>
          <w:spacing w:val="0"/>
          <w:sz w:val="28"/>
          <w:szCs w:val="28"/>
        </w:rPr>
        <w:t>Средняя заработная плата учителей муниципальных общеобразовательных учреждений в 2012 году - 10 864 рублей (рост к уровню 2011 года 9,6 %), работников дошкольных учреждений - 6 813 рублей (к 2011 году рост 13,6 %), работников муниципальных учреждений культуры -8521рублей. Задолженность по заработной плате за 2012 год отсутствует</w:t>
      </w:r>
      <w:r w:rsidR="00154788" w:rsidRPr="00594882">
        <w:rPr>
          <w:rFonts w:ascii="Times New Roman" w:hAnsi="Times New Roman" w:cs="Times New Roman"/>
          <w:sz w:val="28"/>
          <w:szCs w:val="28"/>
        </w:rPr>
        <w:t xml:space="preserve"> </w:t>
      </w:r>
    </w:p>
    <w:p w:rsidR="00C52519" w:rsidRPr="006C1DF3" w:rsidRDefault="000C4380" w:rsidP="0060738C">
      <w:pPr>
        <w:pStyle w:val="a5"/>
        <w:ind w:firstLine="709"/>
        <w:jc w:val="both"/>
        <w:rPr>
          <w:rFonts w:ascii="Times New Roman" w:hAnsi="Times New Roman" w:cs="Times New Roman"/>
          <w:sz w:val="28"/>
          <w:szCs w:val="28"/>
        </w:rPr>
      </w:pPr>
      <w:r w:rsidRPr="006C1DF3">
        <w:rPr>
          <w:rFonts w:ascii="Times New Roman" w:hAnsi="Times New Roman" w:cs="Times New Roman"/>
          <w:sz w:val="28"/>
          <w:szCs w:val="28"/>
        </w:rPr>
        <w:t>За 9 месяц</w:t>
      </w:r>
      <w:r w:rsidR="00154788" w:rsidRPr="006C1DF3">
        <w:rPr>
          <w:rFonts w:ascii="Times New Roman" w:hAnsi="Times New Roman" w:cs="Times New Roman"/>
          <w:sz w:val="28"/>
          <w:szCs w:val="28"/>
        </w:rPr>
        <w:t>ев  2013</w:t>
      </w:r>
      <w:r w:rsidRPr="006C1DF3">
        <w:rPr>
          <w:rFonts w:ascii="Times New Roman" w:hAnsi="Times New Roman" w:cs="Times New Roman"/>
          <w:sz w:val="28"/>
          <w:szCs w:val="28"/>
        </w:rPr>
        <w:t xml:space="preserve"> года начисленная  среднемесячная заработная плата составила  </w:t>
      </w:r>
      <w:r w:rsidR="00154788" w:rsidRPr="006C1DF3">
        <w:rPr>
          <w:rFonts w:ascii="Times New Roman" w:hAnsi="Times New Roman" w:cs="Times New Roman"/>
          <w:sz w:val="28"/>
          <w:szCs w:val="28"/>
        </w:rPr>
        <w:t>16072,7</w:t>
      </w:r>
      <w:r w:rsidRPr="006C1DF3">
        <w:rPr>
          <w:rFonts w:ascii="Times New Roman" w:hAnsi="Times New Roman" w:cs="Times New Roman"/>
          <w:sz w:val="28"/>
          <w:szCs w:val="28"/>
        </w:rPr>
        <w:t xml:space="preserve"> рублей, что на </w:t>
      </w:r>
      <w:r w:rsidR="00154788" w:rsidRPr="006C1DF3">
        <w:rPr>
          <w:rFonts w:ascii="Times New Roman" w:hAnsi="Times New Roman" w:cs="Times New Roman"/>
          <w:sz w:val="28"/>
          <w:szCs w:val="28"/>
        </w:rPr>
        <w:t>14,8</w:t>
      </w:r>
      <w:r w:rsidRPr="006C1DF3">
        <w:rPr>
          <w:rFonts w:ascii="Times New Roman" w:hAnsi="Times New Roman" w:cs="Times New Roman"/>
          <w:sz w:val="28"/>
          <w:szCs w:val="28"/>
        </w:rPr>
        <w:t xml:space="preserve"> % больше, че</w:t>
      </w:r>
      <w:r w:rsidR="00154788" w:rsidRPr="006C1DF3">
        <w:rPr>
          <w:rFonts w:ascii="Times New Roman" w:hAnsi="Times New Roman" w:cs="Times New Roman"/>
          <w:sz w:val="28"/>
          <w:szCs w:val="28"/>
        </w:rPr>
        <w:t>м за соответствующий период 2012</w:t>
      </w:r>
      <w:r w:rsidRPr="006C1DF3">
        <w:rPr>
          <w:rFonts w:ascii="Times New Roman" w:hAnsi="Times New Roman" w:cs="Times New Roman"/>
          <w:sz w:val="28"/>
          <w:szCs w:val="28"/>
        </w:rPr>
        <w:t xml:space="preserve"> года.  Данный темп роста обеспечивают организации, занятые в материальном производстве, а также  увеличился фонд за счет работников бюджетной сферы.</w:t>
      </w:r>
      <w:r w:rsidRPr="006C1DF3">
        <w:rPr>
          <w:rFonts w:ascii="Times New Roman" w:hAnsi="Times New Roman" w:cs="Times New Roman"/>
          <w:color w:val="FF0000"/>
          <w:sz w:val="28"/>
          <w:szCs w:val="28"/>
        </w:rPr>
        <w:t xml:space="preserve"> </w:t>
      </w:r>
      <w:r w:rsidRPr="006C1DF3">
        <w:rPr>
          <w:rFonts w:ascii="Times New Roman" w:hAnsi="Times New Roman" w:cs="Times New Roman"/>
          <w:sz w:val="28"/>
          <w:szCs w:val="28"/>
        </w:rPr>
        <w:t>В современных условиях заработная плата должна в полной мере выполнять свою стимулирующую функцию.</w:t>
      </w:r>
    </w:p>
    <w:p w:rsidR="00C52519" w:rsidRPr="00594882" w:rsidRDefault="00C52519" w:rsidP="00594882">
      <w:pPr>
        <w:pStyle w:val="a5"/>
        <w:ind w:firstLine="709"/>
        <w:jc w:val="both"/>
        <w:rPr>
          <w:rFonts w:ascii="Times New Roman" w:hAnsi="Times New Roman" w:cs="Times New Roman"/>
          <w:sz w:val="28"/>
          <w:szCs w:val="28"/>
        </w:rPr>
      </w:pPr>
      <w:r w:rsidRPr="006C1DF3">
        <w:rPr>
          <w:rFonts w:ascii="Times New Roman" w:hAnsi="Times New Roman" w:cs="Times New Roman"/>
          <w:sz w:val="28"/>
          <w:szCs w:val="28"/>
        </w:rPr>
        <w:t>Программа социально-экономического развития города Каспийск  до 201</w:t>
      </w:r>
      <w:r w:rsidR="00154788" w:rsidRPr="006C1DF3">
        <w:rPr>
          <w:rFonts w:ascii="Times New Roman" w:hAnsi="Times New Roman" w:cs="Times New Roman"/>
          <w:sz w:val="28"/>
          <w:szCs w:val="28"/>
        </w:rPr>
        <w:t>6</w:t>
      </w:r>
      <w:r w:rsidRPr="006C1DF3">
        <w:rPr>
          <w:rFonts w:ascii="Times New Roman" w:hAnsi="Times New Roman" w:cs="Times New Roman"/>
          <w:sz w:val="28"/>
          <w:szCs w:val="28"/>
        </w:rPr>
        <w:t xml:space="preserve"> года разработана с целью повышения финансово-экономической самодостаточности города, расширения собственной экономической базы, повышения благосостояния горожан, удовлетворения их материальных потребностей и духовно-нравственных ценностей</w:t>
      </w:r>
      <w:r w:rsidR="00B90FDB" w:rsidRPr="006C1DF3">
        <w:rPr>
          <w:rFonts w:ascii="Times New Roman" w:hAnsi="Times New Roman" w:cs="Times New Roman"/>
          <w:sz w:val="28"/>
          <w:szCs w:val="28"/>
        </w:rPr>
        <w:t>.</w:t>
      </w:r>
    </w:p>
    <w:p w:rsidR="00C52519" w:rsidRPr="00236469" w:rsidRDefault="00C52519" w:rsidP="00594882">
      <w:pPr>
        <w:pStyle w:val="a5"/>
        <w:ind w:firstLine="709"/>
        <w:jc w:val="center"/>
        <w:rPr>
          <w:rFonts w:ascii="Times New Roman" w:hAnsi="Times New Roman" w:cs="Times New Roman"/>
          <w:b/>
          <w:sz w:val="28"/>
          <w:szCs w:val="28"/>
        </w:rPr>
      </w:pPr>
      <w:r w:rsidRPr="00236469">
        <w:rPr>
          <w:rFonts w:ascii="Times New Roman" w:hAnsi="Times New Roman" w:cs="Times New Roman"/>
          <w:b/>
          <w:sz w:val="28"/>
          <w:szCs w:val="28"/>
        </w:rPr>
        <w:t>Выводы и предложения:</w:t>
      </w:r>
    </w:p>
    <w:p w:rsidR="00C52519" w:rsidRPr="00236469" w:rsidRDefault="00C52519" w:rsidP="0060738C">
      <w:pPr>
        <w:pStyle w:val="a5"/>
        <w:numPr>
          <w:ilvl w:val="0"/>
          <w:numId w:val="1"/>
        </w:numPr>
        <w:ind w:left="0" w:firstLine="709"/>
        <w:jc w:val="both"/>
        <w:rPr>
          <w:rFonts w:ascii="Times New Roman" w:hAnsi="Times New Roman" w:cs="Times New Roman"/>
          <w:b/>
          <w:sz w:val="28"/>
          <w:szCs w:val="28"/>
        </w:rPr>
      </w:pPr>
      <w:r w:rsidRPr="00236469">
        <w:rPr>
          <w:rFonts w:ascii="Times New Roman" w:hAnsi="Times New Roman" w:cs="Times New Roman"/>
          <w:sz w:val="28"/>
          <w:szCs w:val="28"/>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6C1DF3">
        <w:rPr>
          <w:rFonts w:ascii="Times New Roman" w:hAnsi="Times New Roman" w:cs="Times New Roman"/>
          <w:sz w:val="28"/>
          <w:szCs w:val="28"/>
        </w:rPr>
        <w:t>4</w:t>
      </w:r>
      <w:r w:rsidRPr="00236469">
        <w:rPr>
          <w:rFonts w:ascii="Times New Roman" w:hAnsi="Times New Roman" w:cs="Times New Roman"/>
          <w:sz w:val="28"/>
          <w:szCs w:val="28"/>
        </w:rPr>
        <w:t xml:space="preserve"> год и плановый период 201</w:t>
      </w:r>
      <w:r w:rsidR="006C1DF3">
        <w:rPr>
          <w:rFonts w:ascii="Times New Roman" w:hAnsi="Times New Roman" w:cs="Times New Roman"/>
          <w:sz w:val="28"/>
          <w:szCs w:val="28"/>
        </w:rPr>
        <w:t>5</w:t>
      </w:r>
      <w:r w:rsidRPr="00236469">
        <w:rPr>
          <w:rFonts w:ascii="Times New Roman" w:hAnsi="Times New Roman" w:cs="Times New Roman"/>
          <w:sz w:val="28"/>
          <w:szCs w:val="28"/>
        </w:rPr>
        <w:t>-201</w:t>
      </w:r>
      <w:r w:rsidR="006C1DF3">
        <w:rPr>
          <w:rFonts w:ascii="Times New Roman" w:hAnsi="Times New Roman" w:cs="Times New Roman"/>
          <w:sz w:val="28"/>
          <w:szCs w:val="28"/>
        </w:rPr>
        <w:t>6</w:t>
      </w:r>
      <w:r w:rsidRPr="00236469">
        <w:rPr>
          <w:rFonts w:ascii="Times New Roman" w:hAnsi="Times New Roman" w:cs="Times New Roman"/>
          <w:sz w:val="28"/>
          <w:szCs w:val="28"/>
        </w:rPr>
        <w:t xml:space="preserve"> годы документы и материалы содержат полный перечень необходимых показателей.</w:t>
      </w:r>
    </w:p>
    <w:p w:rsidR="00C52519" w:rsidRPr="00236469" w:rsidRDefault="00C52519" w:rsidP="0060738C">
      <w:pPr>
        <w:pStyle w:val="a5"/>
        <w:numPr>
          <w:ilvl w:val="0"/>
          <w:numId w:val="1"/>
        </w:numPr>
        <w:ind w:left="0" w:firstLine="709"/>
        <w:jc w:val="both"/>
        <w:rPr>
          <w:rFonts w:ascii="Times New Roman" w:hAnsi="Times New Roman" w:cs="Times New Roman"/>
          <w:b/>
          <w:sz w:val="28"/>
          <w:szCs w:val="28"/>
        </w:rPr>
      </w:pPr>
      <w:r w:rsidRPr="00236469">
        <w:rPr>
          <w:rFonts w:ascii="Times New Roman" w:hAnsi="Times New Roman" w:cs="Times New Roman"/>
          <w:sz w:val="28"/>
          <w:szCs w:val="28"/>
        </w:rPr>
        <w:t>Проектом решения «Программа социально-экономического развития муниципального образования городской округ «город Каспийск» на 201</w:t>
      </w:r>
      <w:r w:rsidR="00154788">
        <w:rPr>
          <w:rFonts w:ascii="Times New Roman" w:hAnsi="Times New Roman" w:cs="Times New Roman"/>
          <w:sz w:val="28"/>
          <w:szCs w:val="28"/>
        </w:rPr>
        <w:t>4</w:t>
      </w:r>
      <w:r w:rsidRPr="00236469">
        <w:rPr>
          <w:rFonts w:ascii="Times New Roman" w:hAnsi="Times New Roman" w:cs="Times New Roman"/>
          <w:sz w:val="28"/>
          <w:szCs w:val="28"/>
        </w:rPr>
        <w:t xml:space="preserve"> год и плановый период 201</w:t>
      </w:r>
      <w:r w:rsidR="00154788">
        <w:rPr>
          <w:rFonts w:ascii="Times New Roman" w:hAnsi="Times New Roman" w:cs="Times New Roman"/>
          <w:sz w:val="28"/>
          <w:szCs w:val="28"/>
        </w:rPr>
        <w:t>5</w:t>
      </w:r>
      <w:r w:rsidRPr="00236469">
        <w:rPr>
          <w:rFonts w:ascii="Times New Roman" w:hAnsi="Times New Roman" w:cs="Times New Roman"/>
          <w:sz w:val="28"/>
          <w:szCs w:val="28"/>
        </w:rPr>
        <w:t>-201</w:t>
      </w:r>
      <w:r w:rsidR="00154788">
        <w:rPr>
          <w:rFonts w:ascii="Times New Roman" w:hAnsi="Times New Roman" w:cs="Times New Roman"/>
          <w:sz w:val="28"/>
          <w:szCs w:val="28"/>
        </w:rPr>
        <w:t>6</w:t>
      </w:r>
      <w:r w:rsidRPr="00236469">
        <w:rPr>
          <w:rFonts w:ascii="Times New Roman" w:hAnsi="Times New Roman" w:cs="Times New Roman"/>
          <w:sz w:val="28"/>
          <w:szCs w:val="28"/>
        </w:rPr>
        <w:t xml:space="preserve"> годы» определены:</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 xml:space="preserve">  - социально-экономическое положение городского округа «город Каспийск»;</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 цели и задачи программы;</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 основные проблемы и способы решения социально-экономического развития городского округа «город Каспийск» на 201</w:t>
      </w:r>
      <w:r w:rsidR="000C4380" w:rsidRPr="00236469">
        <w:rPr>
          <w:rFonts w:ascii="Times New Roman" w:hAnsi="Times New Roman" w:cs="Times New Roman"/>
          <w:sz w:val="28"/>
          <w:szCs w:val="28"/>
        </w:rPr>
        <w:t>3</w:t>
      </w:r>
      <w:r w:rsidRPr="00236469">
        <w:rPr>
          <w:rFonts w:ascii="Times New Roman" w:hAnsi="Times New Roman" w:cs="Times New Roman"/>
          <w:sz w:val="28"/>
          <w:szCs w:val="28"/>
        </w:rPr>
        <w:t>-201</w:t>
      </w:r>
      <w:r w:rsidR="000C4380" w:rsidRPr="00236469">
        <w:rPr>
          <w:rFonts w:ascii="Times New Roman" w:hAnsi="Times New Roman" w:cs="Times New Roman"/>
          <w:sz w:val="28"/>
          <w:szCs w:val="28"/>
        </w:rPr>
        <w:t>5</w:t>
      </w:r>
      <w:r w:rsidRPr="00236469">
        <w:rPr>
          <w:rFonts w:ascii="Times New Roman" w:hAnsi="Times New Roman" w:cs="Times New Roman"/>
          <w:sz w:val="28"/>
          <w:szCs w:val="28"/>
        </w:rPr>
        <w:t>гг.</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 программные мероприятия и ожидаемые результаты выполнения этих мероприятий по всем отраслям городского хозяйства;</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 краткая аннотация о предприятиях с инвестиционной привлекательностью.</w:t>
      </w:r>
    </w:p>
    <w:p w:rsidR="00C52519" w:rsidRPr="00236469"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b/>
          <w:sz w:val="28"/>
          <w:szCs w:val="28"/>
        </w:rPr>
        <w:t>3</w:t>
      </w:r>
      <w:r w:rsidRPr="00236469">
        <w:rPr>
          <w:rFonts w:ascii="Times New Roman" w:hAnsi="Times New Roman" w:cs="Times New Roman"/>
          <w:sz w:val="28"/>
          <w:szCs w:val="28"/>
        </w:rPr>
        <w:t>.Рассмотрев, предварительные показатели Программы контрольно-счетная комиссия считает:</w:t>
      </w:r>
    </w:p>
    <w:p w:rsidR="00C52519" w:rsidRPr="0060738C" w:rsidRDefault="00C52519" w:rsidP="0060738C">
      <w:pPr>
        <w:pStyle w:val="a5"/>
        <w:ind w:firstLine="709"/>
        <w:jc w:val="both"/>
        <w:rPr>
          <w:rFonts w:ascii="Times New Roman" w:hAnsi="Times New Roman" w:cs="Times New Roman"/>
          <w:sz w:val="28"/>
          <w:szCs w:val="28"/>
        </w:rPr>
      </w:pPr>
      <w:r w:rsidRPr="00236469">
        <w:rPr>
          <w:rFonts w:ascii="Times New Roman" w:hAnsi="Times New Roman" w:cs="Times New Roman"/>
          <w:sz w:val="28"/>
          <w:szCs w:val="28"/>
        </w:rPr>
        <w:tab/>
        <w:t>-одобрить в целом проект представленной Программы социально-экономического развития муниципального образования городской округ «город Каспийск» на 201</w:t>
      </w:r>
      <w:r w:rsidR="00154788">
        <w:rPr>
          <w:rFonts w:ascii="Times New Roman" w:hAnsi="Times New Roman" w:cs="Times New Roman"/>
          <w:sz w:val="28"/>
          <w:szCs w:val="28"/>
        </w:rPr>
        <w:t>4</w:t>
      </w:r>
      <w:r w:rsidRPr="00236469">
        <w:rPr>
          <w:rFonts w:ascii="Times New Roman" w:hAnsi="Times New Roman" w:cs="Times New Roman"/>
          <w:sz w:val="28"/>
          <w:szCs w:val="28"/>
        </w:rPr>
        <w:t>год и плановый период 201</w:t>
      </w:r>
      <w:r w:rsidR="00154788">
        <w:rPr>
          <w:rFonts w:ascii="Times New Roman" w:hAnsi="Times New Roman" w:cs="Times New Roman"/>
          <w:sz w:val="28"/>
          <w:szCs w:val="28"/>
        </w:rPr>
        <w:t>5</w:t>
      </w:r>
      <w:r w:rsidRPr="00236469">
        <w:rPr>
          <w:rFonts w:ascii="Times New Roman" w:hAnsi="Times New Roman" w:cs="Times New Roman"/>
          <w:sz w:val="28"/>
          <w:szCs w:val="28"/>
        </w:rPr>
        <w:t>-201</w:t>
      </w:r>
      <w:r w:rsidR="00154788">
        <w:rPr>
          <w:rFonts w:ascii="Times New Roman" w:hAnsi="Times New Roman" w:cs="Times New Roman"/>
          <w:sz w:val="28"/>
          <w:szCs w:val="28"/>
        </w:rPr>
        <w:t xml:space="preserve">6 </w:t>
      </w:r>
      <w:r w:rsidR="0060738C">
        <w:rPr>
          <w:rFonts w:ascii="Times New Roman" w:hAnsi="Times New Roman" w:cs="Times New Roman"/>
          <w:sz w:val="28"/>
          <w:szCs w:val="28"/>
        </w:rPr>
        <w:t>годы.</w:t>
      </w:r>
    </w:p>
    <w:p w:rsidR="0060738C" w:rsidRDefault="0060738C" w:rsidP="00594882">
      <w:pPr>
        <w:spacing w:after="0" w:line="240" w:lineRule="auto"/>
        <w:jc w:val="both"/>
        <w:rPr>
          <w:rFonts w:ascii="Times New Roman" w:hAnsi="Times New Roman" w:cs="Times New Roman"/>
          <w:b/>
          <w:sz w:val="28"/>
          <w:szCs w:val="28"/>
        </w:rPr>
      </w:pPr>
    </w:p>
    <w:p w:rsidR="00C52519" w:rsidRPr="00236469" w:rsidRDefault="00C52519" w:rsidP="0060738C">
      <w:pPr>
        <w:spacing w:after="0" w:line="240" w:lineRule="auto"/>
        <w:ind w:firstLine="540"/>
        <w:jc w:val="both"/>
        <w:rPr>
          <w:rFonts w:ascii="Times New Roman" w:hAnsi="Times New Roman" w:cs="Times New Roman"/>
          <w:b/>
          <w:sz w:val="28"/>
          <w:szCs w:val="28"/>
        </w:rPr>
      </w:pPr>
      <w:r w:rsidRPr="00236469">
        <w:rPr>
          <w:rFonts w:ascii="Times New Roman" w:hAnsi="Times New Roman" w:cs="Times New Roman"/>
          <w:b/>
          <w:sz w:val="28"/>
          <w:szCs w:val="28"/>
        </w:rPr>
        <w:t>Председатель</w:t>
      </w:r>
    </w:p>
    <w:p w:rsidR="00EF688D" w:rsidRPr="0060738C" w:rsidRDefault="00C52519" w:rsidP="0060738C">
      <w:pPr>
        <w:spacing w:after="0" w:line="240" w:lineRule="auto"/>
        <w:jc w:val="both"/>
        <w:rPr>
          <w:rFonts w:ascii="Times New Roman" w:hAnsi="Times New Roman" w:cs="Times New Roman"/>
          <w:b/>
          <w:sz w:val="28"/>
          <w:szCs w:val="28"/>
        </w:rPr>
      </w:pPr>
      <w:r w:rsidRPr="00236469">
        <w:rPr>
          <w:rFonts w:ascii="Times New Roman" w:hAnsi="Times New Roman" w:cs="Times New Roman"/>
          <w:b/>
          <w:sz w:val="28"/>
          <w:szCs w:val="28"/>
        </w:rPr>
        <w:t xml:space="preserve">контрольно-счетной Комиссии                               </w:t>
      </w:r>
      <w:r w:rsidR="0060738C">
        <w:rPr>
          <w:rFonts w:ascii="Times New Roman" w:hAnsi="Times New Roman" w:cs="Times New Roman"/>
          <w:b/>
          <w:sz w:val="28"/>
          <w:szCs w:val="28"/>
        </w:rPr>
        <w:t xml:space="preserve">                  Чаракова М. Х.</w:t>
      </w:r>
    </w:p>
    <w:sectPr w:rsidR="00EF688D" w:rsidRPr="0060738C" w:rsidSect="0060738C">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B8" w:rsidRDefault="001922B8" w:rsidP="0060738C">
      <w:pPr>
        <w:spacing w:after="0" w:line="240" w:lineRule="auto"/>
      </w:pPr>
      <w:r>
        <w:separator/>
      </w:r>
    </w:p>
  </w:endnote>
  <w:endnote w:type="continuationSeparator" w:id="1">
    <w:p w:rsidR="001922B8" w:rsidRDefault="001922B8" w:rsidP="0060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5797"/>
      <w:docPartObj>
        <w:docPartGallery w:val="Page Numbers (Bottom of Page)"/>
        <w:docPartUnique/>
      </w:docPartObj>
    </w:sdtPr>
    <w:sdtContent>
      <w:p w:rsidR="0060738C" w:rsidRDefault="000203B1">
        <w:pPr>
          <w:pStyle w:val="a9"/>
          <w:jc w:val="center"/>
        </w:pPr>
        <w:fldSimple w:instr=" PAGE   \* MERGEFORMAT ">
          <w:r w:rsidR="00E02641">
            <w:rPr>
              <w:noProof/>
            </w:rPr>
            <w:t>7</w:t>
          </w:r>
        </w:fldSimple>
      </w:p>
    </w:sdtContent>
  </w:sdt>
  <w:p w:rsidR="0060738C" w:rsidRDefault="006073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B8" w:rsidRDefault="001922B8" w:rsidP="0060738C">
      <w:pPr>
        <w:spacing w:after="0" w:line="240" w:lineRule="auto"/>
      </w:pPr>
      <w:r>
        <w:separator/>
      </w:r>
    </w:p>
  </w:footnote>
  <w:footnote w:type="continuationSeparator" w:id="1">
    <w:p w:rsidR="001922B8" w:rsidRDefault="001922B8" w:rsidP="00607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3E52"/>
    <w:multiLevelType w:val="hybridMultilevel"/>
    <w:tmpl w:val="CCDCABC0"/>
    <w:lvl w:ilvl="0" w:tplc="245068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2519"/>
    <w:rsid w:val="0001196F"/>
    <w:rsid w:val="00016590"/>
    <w:rsid w:val="000203B1"/>
    <w:rsid w:val="000254BC"/>
    <w:rsid w:val="0002640D"/>
    <w:rsid w:val="0003119B"/>
    <w:rsid w:val="00036D8C"/>
    <w:rsid w:val="00042881"/>
    <w:rsid w:val="000452A8"/>
    <w:rsid w:val="00056F1A"/>
    <w:rsid w:val="00060994"/>
    <w:rsid w:val="00065935"/>
    <w:rsid w:val="00073191"/>
    <w:rsid w:val="00081E7D"/>
    <w:rsid w:val="00092E78"/>
    <w:rsid w:val="00093E18"/>
    <w:rsid w:val="000B0978"/>
    <w:rsid w:val="000C2577"/>
    <w:rsid w:val="000C4380"/>
    <w:rsid w:val="000D2241"/>
    <w:rsid w:val="000F7A53"/>
    <w:rsid w:val="001010D7"/>
    <w:rsid w:val="00102026"/>
    <w:rsid w:val="001046B7"/>
    <w:rsid w:val="00107C19"/>
    <w:rsid w:val="00120440"/>
    <w:rsid w:val="00130369"/>
    <w:rsid w:val="0013600C"/>
    <w:rsid w:val="001375B6"/>
    <w:rsid w:val="00141E86"/>
    <w:rsid w:val="00144EE1"/>
    <w:rsid w:val="00154788"/>
    <w:rsid w:val="00160CBC"/>
    <w:rsid w:val="00163CFC"/>
    <w:rsid w:val="00170584"/>
    <w:rsid w:val="001754CA"/>
    <w:rsid w:val="0017706A"/>
    <w:rsid w:val="00177127"/>
    <w:rsid w:val="001922B8"/>
    <w:rsid w:val="001A1258"/>
    <w:rsid w:val="001B7D0C"/>
    <w:rsid w:val="001C2C26"/>
    <w:rsid w:val="001D2204"/>
    <w:rsid w:val="001D4A65"/>
    <w:rsid w:val="001D6186"/>
    <w:rsid w:val="001F5E45"/>
    <w:rsid w:val="002132A8"/>
    <w:rsid w:val="002144DA"/>
    <w:rsid w:val="00221DC4"/>
    <w:rsid w:val="00224475"/>
    <w:rsid w:val="00232EC7"/>
    <w:rsid w:val="00234346"/>
    <w:rsid w:val="00236469"/>
    <w:rsid w:val="0025072D"/>
    <w:rsid w:val="002514D7"/>
    <w:rsid w:val="002554C8"/>
    <w:rsid w:val="00256584"/>
    <w:rsid w:val="002612CF"/>
    <w:rsid w:val="002631DA"/>
    <w:rsid w:val="002650C0"/>
    <w:rsid w:val="002652D6"/>
    <w:rsid w:val="002774C6"/>
    <w:rsid w:val="0028031E"/>
    <w:rsid w:val="002911F9"/>
    <w:rsid w:val="00296C18"/>
    <w:rsid w:val="002A1E0A"/>
    <w:rsid w:val="002A2D7D"/>
    <w:rsid w:val="002A4D06"/>
    <w:rsid w:val="002B1659"/>
    <w:rsid w:val="002B6781"/>
    <w:rsid w:val="002C2DD7"/>
    <w:rsid w:val="002C64D6"/>
    <w:rsid w:val="002D3424"/>
    <w:rsid w:val="002D5FA9"/>
    <w:rsid w:val="002E20B0"/>
    <w:rsid w:val="002E2479"/>
    <w:rsid w:val="002E2E9E"/>
    <w:rsid w:val="002E4F0D"/>
    <w:rsid w:val="002E52CC"/>
    <w:rsid w:val="003010A0"/>
    <w:rsid w:val="0030368F"/>
    <w:rsid w:val="00306712"/>
    <w:rsid w:val="003141C0"/>
    <w:rsid w:val="00323A1E"/>
    <w:rsid w:val="0032454E"/>
    <w:rsid w:val="00330316"/>
    <w:rsid w:val="003360B7"/>
    <w:rsid w:val="00340220"/>
    <w:rsid w:val="003430F0"/>
    <w:rsid w:val="0034340C"/>
    <w:rsid w:val="00367C98"/>
    <w:rsid w:val="00380278"/>
    <w:rsid w:val="0038174B"/>
    <w:rsid w:val="003831A3"/>
    <w:rsid w:val="00387B75"/>
    <w:rsid w:val="003A0A1A"/>
    <w:rsid w:val="003A1C1F"/>
    <w:rsid w:val="003A1CAB"/>
    <w:rsid w:val="003A40E1"/>
    <w:rsid w:val="003A6E09"/>
    <w:rsid w:val="003A70E8"/>
    <w:rsid w:val="003B0712"/>
    <w:rsid w:val="003B0B52"/>
    <w:rsid w:val="003B1F11"/>
    <w:rsid w:val="003C56DB"/>
    <w:rsid w:val="003E2EA9"/>
    <w:rsid w:val="003F08A3"/>
    <w:rsid w:val="003F2B1D"/>
    <w:rsid w:val="003F4E10"/>
    <w:rsid w:val="0040119D"/>
    <w:rsid w:val="0040145F"/>
    <w:rsid w:val="00402328"/>
    <w:rsid w:val="004025C7"/>
    <w:rsid w:val="00402BE9"/>
    <w:rsid w:val="004032EB"/>
    <w:rsid w:val="0041559D"/>
    <w:rsid w:val="00416D00"/>
    <w:rsid w:val="0042016C"/>
    <w:rsid w:val="004206F4"/>
    <w:rsid w:val="0042094A"/>
    <w:rsid w:val="00432E93"/>
    <w:rsid w:val="00433CCA"/>
    <w:rsid w:val="00450EF6"/>
    <w:rsid w:val="00453FBF"/>
    <w:rsid w:val="00456F5D"/>
    <w:rsid w:val="00457428"/>
    <w:rsid w:val="0046090F"/>
    <w:rsid w:val="0046107B"/>
    <w:rsid w:val="00463F85"/>
    <w:rsid w:val="00466054"/>
    <w:rsid w:val="0048253C"/>
    <w:rsid w:val="00482C7C"/>
    <w:rsid w:val="0048506E"/>
    <w:rsid w:val="00487366"/>
    <w:rsid w:val="0048769E"/>
    <w:rsid w:val="0049010C"/>
    <w:rsid w:val="00491862"/>
    <w:rsid w:val="00494991"/>
    <w:rsid w:val="004A047A"/>
    <w:rsid w:val="004A5655"/>
    <w:rsid w:val="004B0F7C"/>
    <w:rsid w:val="004B1EC5"/>
    <w:rsid w:val="004B1F7F"/>
    <w:rsid w:val="004C3509"/>
    <w:rsid w:val="004C624A"/>
    <w:rsid w:val="004D0F9D"/>
    <w:rsid w:val="004E68EE"/>
    <w:rsid w:val="004E7179"/>
    <w:rsid w:val="004F24FB"/>
    <w:rsid w:val="00500A22"/>
    <w:rsid w:val="00502847"/>
    <w:rsid w:val="00506663"/>
    <w:rsid w:val="00511A93"/>
    <w:rsid w:val="00515292"/>
    <w:rsid w:val="005352DB"/>
    <w:rsid w:val="00546203"/>
    <w:rsid w:val="00560695"/>
    <w:rsid w:val="00567920"/>
    <w:rsid w:val="005714B3"/>
    <w:rsid w:val="00572AA6"/>
    <w:rsid w:val="00580523"/>
    <w:rsid w:val="00593A18"/>
    <w:rsid w:val="00594882"/>
    <w:rsid w:val="00595BD0"/>
    <w:rsid w:val="005967FB"/>
    <w:rsid w:val="005A02E3"/>
    <w:rsid w:val="005B5941"/>
    <w:rsid w:val="005B6DB2"/>
    <w:rsid w:val="005B71EE"/>
    <w:rsid w:val="005B78D1"/>
    <w:rsid w:val="005C2770"/>
    <w:rsid w:val="005D16FE"/>
    <w:rsid w:val="005D3D45"/>
    <w:rsid w:val="005D6AF9"/>
    <w:rsid w:val="005E3D39"/>
    <w:rsid w:val="005E5C13"/>
    <w:rsid w:val="005F00CE"/>
    <w:rsid w:val="005F3BE1"/>
    <w:rsid w:val="005F6397"/>
    <w:rsid w:val="00601843"/>
    <w:rsid w:val="00605233"/>
    <w:rsid w:val="0060738C"/>
    <w:rsid w:val="006145E0"/>
    <w:rsid w:val="006168D3"/>
    <w:rsid w:val="00617A3F"/>
    <w:rsid w:val="006262F7"/>
    <w:rsid w:val="0062645A"/>
    <w:rsid w:val="0063081F"/>
    <w:rsid w:val="00635F2B"/>
    <w:rsid w:val="00640FAD"/>
    <w:rsid w:val="00641844"/>
    <w:rsid w:val="00646D3B"/>
    <w:rsid w:val="0065112A"/>
    <w:rsid w:val="00652B6F"/>
    <w:rsid w:val="00661B09"/>
    <w:rsid w:val="00664551"/>
    <w:rsid w:val="0066749F"/>
    <w:rsid w:val="00670480"/>
    <w:rsid w:val="006727B9"/>
    <w:rsid w:val="00675237"/>
    <w:rsid w:val="006763C0"/>
    <w:rsid w:val="006772A5"/>
    <w:rsid w:val="00685693"/>
    <w:rsid w:val="0068601F"/>
    <w:rsid w:val="00690451"/>
    <w:rsid w:val="00692A59"/>
    <w:rsid w:val="006945CF"/>
    <w:rsid w:val="006A18F7"/>
    <w:rsid w:val="006A22B5"/>
    <w:rsid w:val="006C1599"/>
    <w:rsid w:val="006C1DF3"/>
    <w:rsid w:val="006C2A59"/>
    <w:rsid w:val="006C48D2"/>
    <w:rsid w:val="006C525B"/>
    <w:rsid w:val="006D33AB"/>
    <w:rsid w:val="006D44AA"/>
    <w:rsid w:val="006D76A8"/>
    <w:rsid w:val="006E38A1"/>
    <w:rsid w:val="006E44A8"/>
    <w:rsid w:val="006E62C7"/>
    <w:rsid w:val="006F7AD6"/>
    <w:rsid w:val="00704F36"/>
    <w:rsid w:val="00710941"/>
    <w:rsid w:val="00711081"/>
    <w:rsid w:val="00714315"/>
    <w:rsid w:val="00725455"/>
    <w:rsid w:val="00725738"/>
    <w:rsid w:val="00733788"/>
    <w:rsid w:val="00741835"/>
    <w:rsid w:val="0074551C"/>
    <w:rsid w:val="00756678"/>
    <w:rsid w:val="00767CB1"/>
    <w:rsid w:val="0077023D"/>
    <w:rsid w:val="007726D4"/>
    <w:rsid w:val="007823A3"/>
    <w:rsid w:val="007857BB"/>
    <w:rsid w:val="007919E4"/>
    <w:rsid w:val="007B5FDA"/>
    <w:rsid w:val="007B70B2"/>
    <w:rsid w:val="007C5D8E"/>
    <w:rsid w:val="007D78B8"/>
    <w:rsid w:val="007F2C07"/>
    <w:rsid w:val="007F4DC7"/>
    <w:rsid w:val="00815E31"/>
    <w:rsid w:val="00822317"/>
    <w:rsid w:val="008223F8"/>
    <w:rsid w:val="0082634C"/>
    <w:rsid w:val="00842E33"/>
    <w:rsid w:val="00843352"/>
    <w:rsid w:val="00865696"/>
    <w:rsid w:val="00871C39"/>
    <w:rsid w:val="008745B0"/>
    <w:rsid w:val="00875023"/>
    <w:rsid w:val="00875331"/>
    <w:rsid w:val="008753ED"/>
    <w:rsid w:val="00885D48"/>
    <w:rsid w:val="00890360"/>
    <w:rsid w:val="00893CF8"/>
    <w:rsid w:val="00893FAF"/>
    <w:rsid w:val="00895F32"/>
    <w:rsid w:val="00896C5A"/>
    <w:rsid w:val="008A42AD"/>
    <w:rsid w:val="008A5975"/>
    <w:rsid w:val="008A7634"/>
    <w:rsid w:val="008B2AD8"/>
    <w:rsid w:val="008C4FB7"/>
    <w:rsid w:val="008D1DB6"/>
    <w:rsid w:val="008D4EA9"/>
    <w:rsid w:val="008E1C2C"/>
    <w:rsid w:val="008E3B52"/>
    <w:rsid w:val="008E3DFF"/>
    <w:rsid w:val="008E405B"/>
    <w:rsid w:val="008E50B9"/>
    <w:rsid w:val="008E5D01"/>
    <w:rsid w:val="008F0667"/>
    <w:rsid w:val="00923D50"/>
    <w:rsid w:val="009341E7"/>
    <w:rsid w:val="0093745D"/>
    <w:rsid w:val="00941A16"/>
    <w:rsid w:val="00943E1A"/>
    <w:rsid w:val="00944401"/>
    <w:rsid w:val="0094774D"/>
    <w:rsid w:val="009521E7"/>
    <w:rsid w:val="00952A19"/>
    <w:rsid w:val="0095308C"/>
    <w:rsid w:val="00953121"/>
    <w:rsid w:val="00963D39"/>
    <w:rsid w:val="00975710"/>
    <w:rsid w:val="0097613A"/>
    <w:rsid w:val="00984DBD"/>
    <w:rsid w:val="00985AF6"/>
    <w:rsid w:val="009A219B"/>
    <w:rsid w:val="009B5375"/>
    <w:rsid w:val="009D3E22"/>
    <w:rsid w:val="009F2685"/>
    <w:rsid w:val="00A03687"/>
    <w:rsid w:val="00A1173C"/>
    <w:rsid w:val="00A14C2C"/>
    <w:rsid w:val="00A21EBB"/>
    <w:rsid w:val="00A23372"/>
    <w:rsid w:val="00A665C7"/>
    <w:rsid w:val="00A7575B"/>
    <w:rsid w:val="00A92314"/>
    <w:rsid w:val="00A969B0"/>
    <w:rsid w:val="00AA3267"/>
    <w:rsid w:val="00AA606D"/>
    <w:rsid w:val="00AA7BD8"/>
    <w:rsid w:val="00AB46BB"/>
    <w:rsid w:val="00AE0646"/>
    <w:rsid w:val="00AE0767"/>
    <w:rsid w:val="00AE0CC7"/>
    <w:rsid w:val="00AE0DAE"/>
    <w:rsid w:val="00AE3FC9"/>
    <w:rsid w:val="00AF0F06"/>
    <w:rsid w:val="00AF34CD"/>
    <w:rsid w:val="00AF3659"/>
    <w:rsid w:val="00B03C00"/>
    <w:rsid w:val="00B0717C"/>
    <w:rsid w:val="00B103BD"/>
    <w:rsid w:val="00B16CD2"/>
    <w:rsid w:val="00B2658A"/>
    <w:rsid w:val="00B300EE"/>
    <w:rsid w:val="00B50A6E"/>
    <w:rsid w:val="00B50CB8"/>
    <w:rsid w:val="00B553A3"/>
    <w:rsid w:val="00B56681"/>
    <w:rsid w:val="00B70D15"/>
    <w:rsid w:val="00B72464"/>
    <w:rsid w:val="00B76C89"/>
    <w:rsid w:val="00B80D11"/>
    <w:rsid w:val="00B8153D"/>
    <w:rsid w:val="00B90FDB"/>
    <w:rsid w:val="00B91BCD"/>
    <w:rsid w:val="00B94B32"/>
    <w:rsid w:val="00BA1B90"/>
    <w:rsid w:val="00BA4791"/>
    <w:rsid w:val="00BB37AD"/>
    <w:rsid w:val="00BB4D9A"/>
    <w:rsid w:val="00BB5645"/>
    <w:rsid w:val="00BB7C94"/>
    <w:rsid w:val="00BC2353"/>
    <w:rsid w:val="00BC2914"/>
    <w:rsid w:val="00BC634E"/>
    <w:rsid w:val="00BD39BB"/>
    <w:rsid w:val="00BD4075"/>
    <w:rsid w:val="00BD44D4"/>
    <w:rsid w:val="00BE04D3"/>
    <w:rsid w:val="00BE088D"/>
    <w:rsid w:val="00C02332"/>
    <w:rsid w:val="00C03C6F"/>
    <w:rsid w:val="00C03F73"/>
    <w:rsid w:val="00C053F3"/>
    <w:rsid w:val="00C14666"/>
    <w:rsid w:val="00C15215"/>
    <w:rsid w:val="00C1653B"/>
    <w:rsid w:val="00C16D29"/>
    <w:rsid w:val="00C209BD"/>
    <w:rsid w:val="00C20D8B"/>
    <w:rsid w:val="00C20F8C"/>
    <w:rsid w:val="00C22546"/>
    <w:rsid w:val="00C30DB2"/>
    <w:rsid w:val="00C34029"/>
    <w:rsid w:val="00C3629C"/>
    <w:rsid w:val="00C40290"/>
    <w:rsid w:val="00C43132"/>
    <w:rsid w:val="00C52519"/>
    <w:rsid w:val="00C54AA6"/>
    <w:rsid w:val="00C5711B"/>
    <w:rsid w:val="00C61F8A"/>
    <w:rsid w:val="00C7001D"/>
    <w:rsid w:val="00C7372C"/>
    <w:rsid w:val="00CA02BD"/>
    <w:rsid w:val="00CA6AE0"/>
    <w:rsid w:val="00CC329E"/>
    <w:rsid w:val="00CD3946"/>
    <w:rsid w:val="00CD3F2F"/>
    <w:rsid w:val="00CE52E2"/>
    <w:rsid w:val="00CE6580"/>
    <w:rsid w:val="00CE75DF"/>
    <w:rsid w:val="00CF6915"/>
    <w:rsid w:val="00D13E43"/>
    <w:rsid w:val="00D1457C"/>
    <w:rsid w:val="00D162FC"/>
    <w:rsid w:val="00D21BD4"/>
    <w:rsid w:val="00D23FB6"/>
    <w:rsid w:val="00D3247B"/>
    <w:rsid w:val="00D33C79"/>
    <w:rsid w:val="00D537B6"/>
    <w:rsid w:val="00D56957"/>
    <w:rsid w:val="00D625DC"/>
    <w:rsid w:val="00D63832"/>
    <w:rsid w:val="00D65C7A"/>
    <w:rsid w:val="00D6613B"/>
    <w:rsid w:val="00D74248"/>
    <w:rsid w:val="00D76C82"/>
    <w:rsid w:val="00D823E2"/>
    <w:rsid w:val="00D8356D"/>
    <w:rsid w:val="00D865D7"/>
    <w:rsid w:val="00D86F3C"/>
    <w:rsid w:val="00D874D8"/>
    <w:rsid w:val="00D97E27"/>
    <w:rsid w:val="00DA0D36"/>
    <w:rsid w:val="00DA13CD"/>
    <w:rsid w:val="00DA60A1"/>
    <w:rsid w:val="00DB340D"/>
    <w:rsid w:val="00DC010F"/>
    <w:rsid w:val="00DC3F2E"/>
    <w:rsid w:val="00DD02FE"/>
    <w:rsid w:val="00DD439D"/>
    <w:rsid w:val="00DD5E73"/>
    <w:rsid w:val="00DE42F0"/>
    <w:rsid w:val="00DE617C"/>
    <w:rsid w:val="00DE622C"/>
    <w:rsid w:val="00DF0F04"/>
    <w:rsid w:val="00DF16BC"/>
    <w:rsid w:val="00DF4BE6"/>
    <w:rsid w:val="00E02641"/>
    <w:rsid w:val="00E17503"/>
    <w:rsid w:val="00E177FA"/>
    <w:rsid w:val="00E27469"/>
    <w:rsid w:val="00E31C50"/>
    <w:rsid w:val="00E366BA"/>
    <w:rsid w:val="00E36F8E"/>
    <w:rsid w:val="00E37549"/>
    <w:rsid w:val="00E41A2E"/>
    <w:rsid w:val="00E46413"/>
    <w:rsid w:val="00E5067B"/>
    <w:rsid w:val="00E55125"/>
    <w:rsid w:val="00E72A49"/>
    <w:rsid w:val="00E7691F"/>
    <w:rsid w:val="00E818DA"/>
    <w:rsid w:val="00E852AF"/>
    <w:rsid w:val="00E967FA"/>
    <w:rsid w:val="00E96C02"/>
    <w:rsid w:val="00E97BDF"/>
    <w:rsid w:val="00EA06F3"/>
    <w:rsid w:val="00EA25F0"/>
    <w:rsid w:val="00EA5F1D"/>
    <w:rsid w:val="00EB7752"/>
    <w:rsid w:val="00ED5402"/>
    <w:rsid w:val="00EE0BD9"/>
    <w:rsid w:val="00EF07C3"/>
    <w:rsid w:val="00EF4DB5"/>
    <w:rsid w:val="00EF688D"/>
    <w:rsid w:val="00EF6955"/>
    <w:rsid w:val="00F0140C"/>
    <w:rsid w:val="00F0552B"/>
    <w:rsid w:val="00F24893"/>
    <w:rsid w:val="00F57D43"/>
    <w:rsid w:val="00F62474"/>
    <w:rsid w:val="00F628B0"/>
    <w:rsid w:val="00F67B1B"/>
    <w:rsid w:val="00F72488"/>
    <w:rsid w:val="00F82B78"/>
    <w:rsid w:val="00F835AC"/>
    <w:rsid w:val="00F87E95"/>
    <w:rsid w:val="00F922D5"/>
    <w:rsid w:val="00F93BC6"/>
    <w:rsid w:val="00F969ED"/>
    <w:rsid w:val="00F96A76"/>
    <w:rsid w:val="00F97C4F"/>
    <w:rsid w:val="00FA156B"/>
    <w:rsid w:val="00FA27F7"/>
    <w:rsid w:val="00FA412F"/>
    <w:rsid w:val="00FB024B"/>
    <w:rsid w:val="00FB2E0F"/>
    <w:rsid w:val="00FB7AFD"/>
    <w:rsid w:val="00FC2C9C"/>
    <w:rsid w:val="00FC3279"/>
    <w:rsid w:val="00FC4836"/>
    <w:rsid w:val="00FC4D90"/>
    <w:rsid w:val="00FD3B90"/>
    <w:rsid w:val="00FD733D"/>
    <w:rsid w:val="00FE12D6"/>
    <w:rsid w:val="00FE4D4C"/>
    <w:rsid w:val="00FF5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19"/>
    <w:rPr>
      <w:rFonts w:eastAsiaTheme="minorEastAsia"/>
      <w:lang w:eastAsia="ru-RU"/>
    </w:rPr>
  </w:style>
  <w:style w:type="paragraph" w:styleId="1">
    <w:name w:val="heading 1"/>
    <w:basedOn w:val="a"/>
    <w:next w:val="a"/>
    <w:link w:val="10"/>
    <w:uiPriority w:val="9"/>
    <w:qFormat/>
    <w:rsid w:val="00C52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519"/>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unhideWhenUsed/>
    <w:rsid w:val="00C5251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C52519"/>
    <w:rPr>
      <w:rFonts w:ascii="Times New Roman" w:eastAsia="Times New Roman" w:hAnsi="Times New Roman" w:cs="Times New Roman"/>
      <w:sz w:val="24"/>
      <w:szCs w:val="24"/>
      <w:lang w:eastAsia="ru-RU"/>
    </w:rPr>
  </w:style>
  <w:style w:type="paragraph" w:styleId="2">
    <w:name w:val="Body Text 2"/>
    <w:basedOn w:val="a"/>
    <w:link w:val="20"/>
    <w:unhideWhenUsed/>
    <w:rsid w:val="00C52519"/>
    <w:pPr>
      <w:spacing w:after="0" w:line="240" w:lineRule="auto"/>
      <w:jc w:val="both"/>
    </w:pPr>
    <w:rPr>
      <w:rFonts w:ascii="Arial" w:eastAsia="Times New Roman" w:hAnsi="Arial" w:cs="Times New Roman"/>
      <w:szCs w:val="20"/>
    </w:rPr>
  </w:style>
  <w:style w:type="character" w:customStyle="1" w:styleId="20">
    <w:name w:val="Основной текст 2 Знак"/>
    <w:basedOn w:val="a0"/>
    <w:link w:val="2"/>
    <w:rsid w:val="00C52519"/>
    <w:rPr>
      <w:rFonts w:ascii="Arial" w:eastAsia="Times New Roman" w:hAnsi="Arial" w:cs="Times New Roman"/>
      <w:szCs w:val="20"/>
      <w:lang w:eastAsia="ru-RU"/>
    </w:rPr>
  </w:style>
  <w:style w:type="paragraph" w:styleId="a5">
    <w:name w:val="No Spacing"/>
    <w:uiPriority w:val="1"/>
    <w:qFormat/>
    <w:rsid w:val="00C52519"/>
    <w:pPr>
      <w:spacing w:after="0" w:line="240" w:lineRule="auto"/>
    </w:pPr>
    <w:rPr>
      <w:rFonts w:eastAsiaTheme="minorEastAsia"/>
      <w:lang w:eastAsia="ru-RU"/>
    </w:rPr>
  </w:style>
  <w:style w:type="paragraph" w:customStyle="1" w:styleId="ConsPlusNormal">
    <w:name w:val="ConsPlusNormal"/>
    <w:uiPriority w:val="99"/>
    <w:rsid w:val="00C525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C52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
    <w:name w:val="newncpi"/>
    <w:basedOn w:val="a"/>
    <w:rsid w:val="000C4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154788"/>
    <w:rPr>
      <w:rFonts w:ascii="Times New Roman" w:hAnsi="Times New Roman" w:cs="Times New Roman"/>
      <w:b/>
      <w:bCs/>
      <w:spacing w:val="10"/>
      <w:sz w:val="22"/>
      <w:szCs w:val="22"/>
    </w:rPr>
  </w:style>
  <w:style w:type="paragraph" w:customStyle="1" w:styleId="Style1">
    <w:name w:val="Style1"/>
    <w:basedOn w:val="a"/>
    <w:uiPriority w:val="99"/>
    <w:rsid w:val="00154788"/>
    <w:pPr>
      <w:widowControl w:val="0"/>
      <w:autoSpaceDE w:val="0"/>
      <w:autoSpaceDN w:val="0"/>
      <w:adjustRightInd w:val="0"/>
      <w:spacing w:after="0" w:line="322" w:lineRule="exact"/>
      <w:ind w:firstLine="696"/>
      <w:jc w:val="both"/>
    </w:pPr>
    <w:rPr>
      <w:rFonts w:ascii="Times New Roman" w:hAnsi="Times New Roman" w:cs="Times New Roman"/>
      <w:sz w:val="24"/>
      <w:szCs w:val="24"/>
    </w:rPr>
  </w:style>
  <w:style w:type="paragraph" w:customStyle="1" w:styleId="Style3">
    <w:name w:val="Style3"/>
    <w:basedOn w:val="a"/>
    <w:uiPriority w:val="99"/>
    <w:rsid w:val="00AB46BB"/>
    <w:pPr>
      <w:widowControl w:val="0"/>
      <w:autoSpaceDE w:val="0"/>
      <w:autoSpaceDN w:val="0"/>
      <w:adjustRightInd w:val="0"/>
      <w:spacing w:after="0" w:line="245" w:lineRule="exact"/>
      <w:jc w:val="right"/>
    </w:pPr>
    <w:rPr>
      <w:rFonts w:ascii="Times New Roman" w:hAnsi="Times New Roman" w:cs="Times New Roman"/>
      <w:sz w:val="24"/>
      <w:szCs w:val="24"/>
    </w:rPr>
  </w:style>
  <w:style w:type="paragraph" w:customStyle="1" w:styleId="Style5">
    <w:name w:val="Style5"/>
    <w:basedOn w:val="a"/>
    <w:uiPriority w:val="99"/>
    <w:rsid w:val="00AB46BB"/>
    <w:pPr>
      <w:widowControl w:val="0"/>
      <w:autoSpaceDE w:val="0"/>
      <w:autoSpaceDN w:val="0"/>
      <w:adjustRightInd w:val="0"/>
      <w:spacing w:after="0" w:line="277" w:lineRule="exact"/>
    </w:pPr>
    <w:rPr>
      <w:rFonts w:ascii="Times New Roman" w:hAnsi="Times New Roman" w:cs="Times New Roman"/>
      <w:sz w:val="24"/>
      <w:szCs w:val="24"/>
    </w:rPr>
  </w:style>
  <w:style w:type="character" w:customStyle="1" w:styleId="FontStyle13">
    <w:name w:val="Font Style13"/>
    <w:basedOn w:val="a0"/>
    <w:uiPriority w:val="99"/>
    <w:rsid w:val="00AB46BB"/>
    <w:rPr>
      <w:rFonts w:ascii="Times New Roman" w:hAnsi="Times New Roman" w:cs="Times New Roman"/>
      <w:sz w:val="22"/>
      <w:szCs w:val="22"/>
    </w:rPr>
  </w:style>
  <w:style w:type="paragraph" w:customStyle="1" w:styleId="Style4">
    <w:name w:val="Style4"/>
    <w:basedOn w:val="a"/>
    <w:uiPriority w:val="99"/>
    <w:rsid w:val="00AB46B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AB46B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0"/>
    <w:uiPriority w:val="99"/>
    <w:rsid w:val="00AB46BB"/>
    <w:rPr>
      <w:rFonts w:ascii="Times New Roman" w:hAnsi="Times New Roman" w:cs="Times New Roman"/>
      <w:b/>
      <w:bCs/>
      <w:sz w:val="20"/>
      <w:szCs w:val="20"/>
    </w:rPr>
  </w:style>
  <w:style w:type="character" w:customStyle="1" w:styleId="FontStyle15">
    <w:name w:val="Font Style15"/>
    <w:basedOn w:val="a0"/>
    <w:uiPriority w:val="99"/>
    <w:rsid w:val="00AB46BB"/>
    <w:rPr>
      <w:rFonts w:ascii="Trebuchet MS" w:hAnsi="Trebuchet MS" w:cs="Trebuchet MS"/>
      <w:b/>
      <w:bCs/>
      <w:sz w:val="18"/>
      <w:szCs w:val="18"/>
    </w:rPr>
  </w:style>
  <w:style w:type="paragraph" w:customStyle="1" w:styleId="Style7">
    <w:name w:val="Style7"/>
    <w:basedOn w:val="a"/>
    <w:uiPriority w:val="99"/>
    <w:rsid w:val="00AB46BB"/>
    <w:pPr>
      <w:widowControl w:val="0"/>
      <w:autoSpaceDE w:val="0"/>
      <w:autoSpaceDN w:val="0"/>
      <w:adjustRightInd w:val="0"/>
      <w:spacing w:after="0" w:line="240" w:lineRule="auto"/>
    </w:pPr>
    <w:rPr>
      <w:rFonts w:ascii="Times New Roman" w:hAnsi="Times New Roman" w:cs="Times New Roman"/>
      <w:sz w:val="24"/>
      <w:szCs w:val="24"/>
    </w:rPr>
  </w:style>
  <w:style w:type="paragraph" w:styleId="21">
    <w:name w:val="Body Text Indent 2"/>
    <w:basedOn w:val="a"/>
    <w:link w:val="22"/>
    <w:unhideWhenUsed/>
    <w:rsid w:val="00AB46BB"/>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AB46BB"/>
    <w:rPr>
      <w:rFonts w:ascii="Times New Roman" w:eastAsia="Times New Roman" w:hAnsi="Times New Roman" w:cs="Times New Roman"/>
      <w:sz w:val="20"/>
      <w:szCs w:val="20"/>
      <w:lang w:eastAsia="ru-RU"/>
    </w:rPr>
  </w:style>
  <w:style w:type="paragraph" w:customStyle="1" w:styleId="Style8">
    <w:name w:val="Style8"/>
    <w:basedOn w:val="a"/>
    <w:uiPriority w:val="99"/>
    <w:rsid w:val="00AB46B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AB46BB"/>
    <w:rPr>
      <w:rFonts w:ascii="Times New Roman" w:hAnsi="Times New Roman" w:cs="Times New Roman"/>
      <w:spacing w:val="10"/>
      <w:sz w:val="20"/>
      <w:szCs w:val="20"/>
    </w:rPr>
  </w:style>
  <w:style w:type="character" w:customStyle="1" w:styleId="FontStyle16">
    <w:name w:val="Font Style16"/>
    <w:basedOn w:val="a0"/>
    <w:uiPriority w:val="99"/>
    <w:rsid w:val="00AB46BB"/>
    <w:rPr>
      <w:rFonts w:ascii="Times New Roman" w:hAnsi="Times New Roman" w:cs="Times New Roman"/>
      <w:sz w:val="26"/>
      <w:szCs w:val="26"/>
    </w:rPr>
  </w:style>
  <w:style w:type="paragraph" w:styleId="a7">
    <w:name w:val="header"/>
    <w:basedOn w:val="a"/>
    <w:link w:val="a8"/>
    <w:uiPriority w:val="99"/>
    <w:semiHidden/>
    <w:unhideWhenUsed/>
    <w:rsid w:val="006073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738C"/>
    <w:rPr>
      <w:rFonts w:eastAsiaTheme="minorEastAsia"/>
      <w:lang w:eastAsia="ru-RU"/>
    </w:rPr>
  </w:style>
  <w:style w:type="paragraph" w:styleId="a9">
    <w:name w:val="footer"/>
    <w:basedOn w:val="a"/>
    <w:link w:val="aa"/>
    <w:uiPriority w:val="99"/>
    <w:unhideWhenUsed/>
    <w:rsid w:val="006073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38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791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BF5C-FC11-472D-8393-3A74590E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2013-12-03T06:07:00Z</cp:lastPrinted>
  <dcterms:created xsi:type="dcterms:W3CDTF">2012-11-21T11:10:00Z</dcterms:created>
  <dcterms:modified xsi:type="dcterms:W3CDTF">2013-12-03T06:09:00Z</dcterms:modified>
</cp:coreProperties>
</file>